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D54D" w14:textId="77777777" w:rsidR="00DB10C1" w:rsidRDefault="00DB10C1" w:rsidP="0013706C">
      <w:pPr>
        <w:jc w:val="both"/>
      </w:pPr>
    </w:p>
    <w:p w14:paraId="4E04D513" w14:textId="05639967" w:rsidR="006B4BD7" w:rsidRPr="008079F0" w:rsidRDefault="008079F0" w:rsidP="0013706C">
      <w:pPr>
        <w:jc w:val="both"/>
        <w:rPr>
          <w:b/>
          <w:sz w:val="20"/>
        </w:rPr>
      </w:pPr>
      <w:r w:rsidRPr="008079F0">
        <w:rPr>
          <w:b/>
          <w:sz w:val="20"/>
        </w:rPr>
        <w:t>5 février 2021, 14:00 – 16:00 Table ronde</w:t>
      </w:r>
      <w:r w:rsidR="00B21B14" w:rsidRPr="008079F0">
        <w:rPr>
          <w:b/>
          <w:sz w:val="20"/>
        </w:rPr>
        <w:t xml:space="preserve"> acquis de</w:t>
      </w:r>
      <w:r w:rsidR="006C7A1E" w:rsidRPr="008079F0">
        <w:rPr>
          <w:b/>
          <w:sz w:val="20"/>
        </w:rPr>
        <w:t xml:space="preserve"> recherche ANR-DFG Access-p</w:t>
      </w:r>
      <w:r w:rsidR="006D053D" w:rsidRPr="008079F0">
        <w:rPr>
          <w:b/>
          <w:sz w:val="20"/>
        </w:rPr>
        <w:t>lus</w:t>
      </w:r>
      <w:r w:rsidR="00E50A0C" w:rsidRPr="008079F0">
        <w:rPr>
          <w:b/>
          <w:sz w:val="20"/>
        </w:rPr>
        <w:t xml:space="preserve"> </w:t>
      </w:r>
      <w:r w:rsidR="00950651">
        <w:rPr>
          <w:b/>
          <w:sz w:val="20"/>
        </w:rPr>
        <w:t>(Visio)</w:t>
      </w:r>
    </w:p>
    <w:p w14:paraId="0BBBFD65" w14:textId="77777777" w:rsidR="00DB10C1" w:rsidRDefault="00DB10C1" w:rsidP="0013706C">
      <w:pPr>
        <w:jc w:val="both"/>
      </w:pPr>
    </w:p>
    <w:p w14:paraId="65AEF48C" w14:textId="77777777" w:rsidR="00DB10C1" w:rsidRDefault="00DB10C1" w:rsidP="0013706C">
      <w:pPr>
        <w:jc w:val="both"/>
      </w:pPr>
    </w:p>
    <w:p w14:paraId="7FC6282F" w14:textId="77777777" w:rsidR="00DB10C1" w:rsidRDefault="00DB10C1" w:rsidP="0013706C">
      <w:pPr>
        <w:jc w:val="both"/>
      </w:pPr>
    </w:p>
    <w:p w14:paraId="700082F1" w14:textId="77777777" w:rsidR="00DB10C1" w:rsidRDefault="00DB10C1" w:rsidP="0013706C">
      <w:pPr>
        <w:jc w:val="both"/>
      </w:pPr>
    </w:p>
    <w:p w14:paraId="03E88B5C" w14:textId="77777777" w:rsidR="00DB10C1" w:rsidRDefault="00DB10C1" w:rsidP="0013706C">
      <w:pPr>
        <w:jc w:val="both"/>
      </w:pPr>
    </w:p>
    <w:p w14:paraId="7A9A30A5" w14:textId="6DDFA578" w:rsidR="00272791" w:rsidRPr="00DB10C1" w:rsidRDefault="00065AB4" w:rsidP="0013706C">
      <w:pPr>
        <w:pBdr>
          <w:bottom w:val="single" w:sz="4" w:space="1" w:color="auto"/>
        </w:pBdr>
        <w:jc w:val="both"/>
        <w:rPr>
          <w:b/>
          <w:smallCaps/>
        </w:rPr>
      </w:pPr>
      <w:r>
        <w:rPr>
          <w:b/>
          <w:smallCaps/>
        </w:rPr>
        <w:t>Discrimination de</w:t>
      </w:r>
      <w:r w:rsidR="00272791" w:rsidRPr="00DB10C1">
        <w:rPr>
          <w:b/>
          <w:smallCaps/>
        </w:rPr>
        <w:t xml:space="preserve"> statuts et égalité d’accès à la formation professionnelle, promotions et carrières dans l’emploi : genre et migration</w:t>
      </w:r>
    </w:p>
    <w:p w14:paraId="3B847BC9" w14:textId="77777777" w:rsidR="004C63D9" w:rsidRDefault="004C63D9" w:rsidP="0013706C">
      <w:pPr>
        <w:jc w:val="both"/>
        <w:rPr>
          <w:sz w:val="22"/>
        </w:rPr>
      </w:pPr>
    </w:p>
    <w:p w14:paraId="0B36FC80" w14:textId="77777777" w:rsidR="00DB10C1" w:rsidRDefault="00DB10C1" w:rsidP="0013706C">
      <w:pPr>
        <w:jc w:val="both"/>
        <w:rPr>
          <w:sz w:val="22"/>
        </w:rPr>
      </w:pPr>
    </w:p>
    <w:p w14:paraId="45F4C277" w14:textId="32EDBE6C" w:rsidR="00DB10C1" w:rsidRDefault="00DB10C1" w:rsidP="0013706C">
      <w:pPr>
        <w:jc w:val="both"/>
        <w:rPr>
          <w:sz w:val="22"/>
        </w:rPr>
      </w:pPr>
      <w:r>
        <w:rPr>
          <w:sz w:val="22"/>
        </w:rPr>
        <w:t xml:space="preserve">Préinscription auprès de Zaera Mariaux : </w:t>
      </w:r>
      <w:hyperlink r:id="rId8" w:history="1">
        <w:r w:rsidRPr="008C656F">
          <w:rPr>
            <w:rStyle w:val="Hyperlink"/>
            <w:sz w:val="22"/>
          </w:rPr>
          <w:t>zaera.mariaux@lecnam.net</w:t>
        </w:r>
      </w:hyperlink>
      <w:r>
        <w:rPr>
          <w:sz w:val="22"/>
        </w:rPr>
        <w:t xml:space="preserve"> </w:t>
      </w:r>
    </w:p>
    <w:p w14:paraId="59D53798" w14:textId="77777777" w:rsidR="00DB10C1" w:rsidRDefault="00DB10C1" w:rsidP="0013706C">
      <w:pPr>
        <w:jc w:val="both"/>
        <w:rPr>
          <w:sz w:val="22"/>
        </w:rPr>
      </w:pPr>
    </w:p>
    <w:p w14:paraId="57817731" w14:textId="77777777" w:rsidR="00DB10C1" w:rsidRDefault="00DB10C1" w:rsidP="0013706C">
      <w:pPr>
        <w:jc w:val="both"/>
        <w:rPr>
          <w:sz w:val="22"/>
        </w:rPr>
      </w:pPr>
    </w:p>
    <w:p w14:paraId="1CC67196" w14:textId="77777777" w:rsidR="00DB10C1" w:rsidRDefault="00DB10C1" w:rsidP="0013706C">
      <w:pPr>
        <w:jc w:val="both"/>
        <w:rPr>
          <w:sz w:val="22"/>
        </w:rPr>
      </w:pPr>
    </w:p>
    <w:p w14:paraId="040058B8" w14:textId="77777777" w:rsidR="00DB10C1" w:rsidRDefault="00DB10C1" w:rsidP="0013706C">
      <w:pPr>
        <w:jc w:val="both"/>
        <w:rPr>
          <w:sz w:val="22"/>
        </w:rPr>
      </w:pPr>
    </w:p>
    <w:p w14:paraId="5EAC38BB" w14:textId="77777777" w:rsidR="00DB10C1" w:rsidRDefault="00DB10C1" w:rsidP="0013706C">
      <w:pPr>
        <w:jc w:val="both"/>
        <w:rPr>
          <w:sz w:val="22"/>
        </w:rPr>
      </w:pPr>
    </w:p>
    <w:p w14:paraId="10094E67" w14:textId="77777777" w:rsidR="00DB10C1" w:rsidRDefault="00DB10C1" w:rsidP="0013706C">
      <w:pPr>
        <w:jc w:val="both"/>
        <w:rPr>
          <w:sz w:val="22"/>
        </w:rPr>
      </w:pPr>
    </w:p>
    <w:p w14:paraId="1C583A6D" w14:textId="77777777" w:rsidR="00DB10C1" w:rsidRPr="00981875" w:rsidRDefault="00DB10C1" w:rsidP="0013706C">
      <w:pPr>
        <w:jc w:val="both"/>
        <w:rPr>
          <w:sz w:val="22"/>
        </w:rPr>
      </w:pPr>
    </w:p>
    <w:p w14:paraId="66D3DA30" w14:textId="620012BF" w:rsidR="00485598" w:rsidRPr="00981875" w:rsidRDefault="00485598" w:rsidP="0013706C">
      <w:pPr>
        <w:jc w:val="both"/>
        <w:rPr>
          <w:sz w:val="22"/>
        </w:rPr>
      </w:pPr>
      <w:r w:rsidRPr="00981875">
        <w:rPr>
          <w:sz w:val="22"/>
        </w:rPr>
        <w:t>Dans le cadre du projet ANR-DFG franco-allemand</w:t>
      </w:r>
      <w:r w:rsidR="00EA24B1" w:rsidRPr="00981875">
        <w:rPr>
          <w:sz w:val="22"/>
        </w:rPr>
        <w:t xml:space="preserve"> </w:t>
      </w:r>
      <w:r w:rsidR="00EA24B1" w:rsidRPr="00981875">
        <w:rPr>
          <w:b/>
          <w:i/>
          <w:sz w:val="22"/>
        </w:rPr>
        <w:t>Access Plus</w:t>
      </w:r>
      <w:r w:rsidRPr="00981875">
        <w:rPr>
          <w:sz w:val="22"/>
        </w:rPr>
        <w:t xml:space="preserve">, nous posons la question de la mise en tension de deux conceptions des inégalités à travers les politiques sociales. Dans les pays d’Europe continentale que sont la France et l’Allemagne, a été historiquement construit une appréhension des inégalités </w:t>
      </w:r>
      <w:r w:rsidR="00ED57FE" w:rsidRPr="00981875">
        <w:rPr>
          <w:sz w:val="22"/>
        </w:rPr>
        <w:t>fondée sur des variables</w:t>
      </w:r>
      <w:r w:rsidRPr="00981875">
        <w:rPr>
          <w:sz w:val="22"/>
        </w:rPr>
        <w:t xml:space="preserve"> socio-économiques.</w:t>
      </w:r>
      <w:r w:rsidR="00ED57FE" w:rsidRPr="00981875">
        <w:rPr>
          <w:sz w:val="22"/>
        </w:rPr>
        <w:t xml:space="preserve"> Cette approche a donné lieu à des politiques sociales qui ont la plupart du temps pour vocation de compenser ces inégalités.</w:t>
      </w:r>
      <w:r w:rsidRPr="00981875">
        <w:rPr>
          <w:sz w:val="22"/>
        </w:rPr>
        <w:t xml:space="preserve"> Cependant, l’Union Européenne, notamment depuis le début des années 2000, a </w:t>
      </w:r>
      <w:r w:rsidR="005F3D61">
        <w:rPr>
          <w:sz w:val="22"/>
        </w:rPr>
        <w:t>forgé</w:t>
      </w:r>
      <w:r w:rsidRPr="00981875">
        <w:rPr>
          <w:sz w:val="22"/>
        </w:rPr>
        <w:t xml:space="preserve"> un ensemble de normes, </w:t>
      </w:r>
      <w:r w:rsidR="005F3D61">
        <w:rPr>
          <w:sz w:val="22"/>
        </w:rPr>
        <w:t>puis des</w:t>
      </w:r>
      <w:r w:rsidRPr="00981875">
        <w:rPr>
          <w:sz w:val="22"/>
        </w:rPr>
        <w:t xml:space="preserve"> </w:t>
      </w:r>
      <w:r w:rsidR="00755E22" w:rsidRPr="00981875">
        <w:rPr>
          <w:sz w:val="22"/>
        </w:rPr>
        <w:t>dis</w:t>
      </w:r>
      <w:r w:rsidR="006D053D" w:rsidRPr="00981875">
        <w:rPr>
          <w:sz w:val="22"/>
        </w:rPr>
        <w:t>positifs d’action publique, centrées sur les</w:t>
      </w:r>
      <w:r w:rsidR="00EA24B1" w:rsidRPr="00981875">
        <w:rPr>
          <w:sz w:val="22"/>
        </w:rPr>
        <w:t xml:space="preserve"> inégalités d’accès dont sont victimes des groupes spécifiques dans les sociétés, comme les femmes, les personnes appartenant à de</w:t>
      </w:r>
      <w:r w:rsidR="00BA5A41" w:rsidRPr="00981875">
        <w:rPr>
          <w:sz w:val="22"/>
        </w:rPr>
        <w:t xml:space="preserve">s minorités ethno-raciales, </w:t>
      </w:r>
      <w:r w:rsidR="00ED57FE" w:rsidRPr="00981875">
        <w:rPr>
          <w:sz w:val="22"/>
        </w:rPr>
        <w:t xml:space="preserve">les personnes </w:t>
      </w:r>
      <w:r w:rsidR="00BA5A41" w:rsidRPr="00981875">
        <w:rPr>
          <w:sz w:val="22"/>
        </w:rPr>
        <w:t xml:space="preserve">avec handicap, etc. Plus concrètement, notre projet pose la question de ce que la mise en tension de ces deux conceptions des inégalités </w:t>
      </w:r>
      <w:r w:rsidR="008A7983" w:rsidRPr="00981875">
        <w:rPr>
          <w:sz w:val="22"/>
        </w:rPr>
        <w:t>vient</w:t>
      </w:r>
      <w:r w:rsidR="00BA5A41" w:rsidRPr="00981875">
        <w:rPr>
          <w:sz w:val="22"/>
        </w:rPr>
        <w:t xml:space="preserve"> faire à l’accès aux droits des personnes, dans le cas des femmes, et des personnes issues de l’immigration, en France et en Allemagne. </w:t>
      </w:r>
      <w:r w:rsidR="00346EF4" w:rsidRPr="00981875">
        <w:rPr>
          <w:sz w:val="22"/>
        </w:rPr>
        <w:t>Dans la recherche, nous proposons d’appliquer cette problématique notamment à l’accès aux minimas sociaux – en ce qu’</w:t>
      </w:r>
      <w:r w:rsidR="0015583B" w:rsidRPr="00981875">
        <w:rPr>
          <w:sz w:val="22"/>
        </w:rPr>
        <w:t>ils sont censés protéger contre la pauvreté -, mais aussi à l’accès à la formation professionnelle continue</w:t>
      </w:r>
      <w:r w:rsidR="0013706C" w:rsidRPr="00981875">
        <w:rPr>
          <w:sz w:val="22"/>
        </w:rPr>
        <w:t xml:space="preserve"> (FPC)</w:t>
      </w:r>
      <w:r w:rsidR="0015583B" w:rsidRPr="00981875">
        <w:rPr>
          <w:sz w:val="22"/>
        </w:rPr>
        <w:t xml:space="preserve"> – en ce qu’elle est censée permettre de compenser de façon active des inégalités. </w:t>
      </w:r>
    </w:p>
    <w:p w14:paraId="499DA381" w14:textId="41828248" w:rsidR="00B62642" w:rsidRPr="00981875" w:rsidRDefault="006B4BD7" w:rsidP="0013706C">
      <w:pPr>
        <w:jc w:val="both"/>
        <w:rPr>
          <w:sz w:val="22"/>
        </w:rPr>
      </w:pPr>
      <w:r w:rsidRPr="00981875">
        <w:rPr>
          <w:sz w:val="22"/>
        </w:rPr>
        <w:tab/>
        <w:t>Nous proposons de tenir</w:t>
      </w:r>
      <w:r w:rsidR="009D1AA4" w:rsidRPr="00981875">
        <w:rPr>
          <w:sz w:val="22"/>
        </w:rPr>
        <w:t xml:space="preserve"> une série de séminaires de recherche censés faire le point sur les travaux disponibles sur ces questions. Le premier d’entre eux portera sur les</w:t>
      </w:r>
      <w:r w:rsidRPr="00981875">
        <w:rPr>
          <w:sz w:val="22"/>
        </w:rPr>
        <w:t xml:space="preserve"> résultats de recherche eng</w:t>
      </w:r>
      <w:r w:rsidR="009D1AA4" w:rsidRPr="00981875">
        <w:rPr>
          <w:sz w:val="22"/>
        </w:rPr>
        <w:t>rangés sur l</w:t>
      </w:r>
      <w:r w:rsidRPr="00981875">
        <w:rPr>
          <w:sz w:val="22"/>
        </w:rPr>
        <w:t>es di</w:t>
      </w:r>
      <w:r w:rsidR="00E35E69" w:rsidRPr="00981875">
        <w:rPr>
          <w:sz w:val="22"/>
        </w:rPr>
        <w:t>s</w:t>
      </w:r>
      <w:r w:rsidRPr="00981875">
        <w:rPr>
          <w:sz w:val="22"/>
        </w:rPr>
        <w:t xml:space="preserve">criminations </w:t>
      </w:r>
      <w:r w:rsidR="0013706C" w:rsidRPr="00981875">
        <w:rPr>
          <w:sz w:val="22"/>
        </w:rPr>
        <w:t xml:space="preserve">dans l’accès à la formation professionnelle continue que rencontrent les femmes et les personnes issues de l’immigration. Nous souhaitons notamment poser la question non seulement des barrières dans l’accès à la FPC, mais aussi de l’influence de ces accès différenciés sur les carrières des individus. </w:t>
      </w:r>
      <w:r w:rsidR="00B62642" w:rsidRPr="00981875">
        <w:rPr>
          <w:sz w:val="22"/>
        </w:rPr>
        <w:t>Nous souhaitons par ailleurs solliciter, lors du même séminaire, des spéci</w:t>
      </w:r>
      <w:r w:rsidR="009D1AA4" w:rsidRPr="00981875">
        <w:rPr>
          <w:sz w:val="22"/>
        </w:rPr>
        <w:t xml:space="preserve">alistes des discriminations subies par </w:t>
      </w:r>
      <w:r w:rsidR="00B62642" w:rsidRPr="00981875">
        <w:rPr>
          <w:sz w:val="22"/>
        </w:rPr>
        <w:t xml:space="preserve">les femmes et des spécialistes de celles </w:t>
      </w:r>
      <w:r w:rsidR="009D1AA4" w:rsidRPr="00981875">
        <w:rPr>
          <w:sz w:val="22"/>
        </w:rPr>
        <w:t>d</w:t>
      </w:r>
      <w:r w:rsidR="00B62642" w:rsidRPr="00981875">
        <w:rPr>
          <w:sz w:val="22"/>
        </w:rPr>
        <w:t>es populations issues de l’immigration. Le but n’est principalement ou, en tous les cas pas uniquement, de travailler dans une perspective d’intersectionnalité, mais bien de pouvoir comparer</w:t>
      </w:r>
      <w:r w:rsidR="004C63D9" w:rsidRPr="00981875">
        <w:rPr>
          <w:sz w:val="22"/>
        </w:rPr>
        <w:t xml:space="preserve"> au concret</w:t>
      </w:r>
      <w:r w:rsidR="00B62642" w:rsidRPr="00981875">
        <w:rPr>
          <w:sz w:val="22"/>
        </w:rPr>
        <w:t xml:space="preserve"> les mécanismes de la discrimination dans un cas et dans l’autre.</w:t>
      </w:r>
    </w:p>
    <w:p w14:paraId="6BEB1390" w14:textId="77777777" w:rsidR="00B21B14" w:rsidRPr="00981875" w:rsidRDefault="00B21B14" w:rsidP="0013706C">
      <w:pPr>
        <w:jc w:val="both"/>
        <w:rPr>
          <w:sz w:val="22"/>
        </w:rPr>
      </w:pPr>
    </w:p>
    <w:p w14:paraId="34BD5DB2" w14:textId="362BDC8C" w:rsidR="0015583B" w:rsidRPr="00981875" w:rsidRDefault="00B62642" w:rsidP="0013706C">
      <w:pPr>
        <w:jc w:val="both"/>
        <w:rPr>
          <w:sz w:val="22"/>
        </w:rPr>
      </w:pPr>
      <w:r w:rsidRPr="00981875">
        <w:rPr>
          <w:sz w:val="22"/>
        </w:rPr>
        <w:t>De manière à permettre des int</w:t>
      </w:r>
      <w:r w:rsidR="00142BE2" w:rsidRPr="00981875">
        <w:rPr>
          <w:sz w:val="22"/>
        </w:rPr>
        <w:t>erventions relative</w:t>
      </w:r>
      <w:r w:rsidR="00B21B14" w:rsidRPr="00981875">
        <w:rPr>
          <w:sz w:val="22"/>
        </w:rPr>
        <w:t>ment brèves, centrées sur des enjeux précis, et permettant un dialogue autour de la table, mais aussi avec l’ensemble des collègues, nous proposons de fonctionner sur le modèle de tables rondes. Après un tour rapide de présentation, l’ensemble des intervenant.e.s sont alors invités à répondre à des questions précises, en quelques minutes.</w:t>
      </w:r>
    </w:p>
    <w:p w14:paraId="221E19A4" w14:textId="77777777" w:rsidR="004C63D9" w:rsidRDefault="004C63D9" w:rsidP="0013706C">
      <w:pPr>
        <w:jc w:val="both"/>
        <w:rPr>
          <w:sz w:val="22"/>
        </w:rPr>
      </w:pPr>
    </w:p>
    <w:p w14:paraId="717C03C2" w14:textId="77777777" w:rsidR="00906A86" w:rsidRPr="00981875" w:rsidRDefault="00906A86" w:rsidP="0013706C">
      <w:pPr>
        <w:jc w:val="both"/>
        <w:rPr>
          <w:sz w:val="22"/>
        </w:rPr>
      </w:pPr>
    </w:p>
    <w:p w14:paraId="4129BA35" w14:textId="74EAB5E1" w:rsidR="00272791" w:rsidRPr="00981875" w:rsidRDefault="00B21B14" w:rsidP="0013706C">
      <w:pPr>
        <w:jc w:val="both"/>
        <w:rPr>
          <w:sz w:val="22"/>
        </w:rPr>
      </w:pPr>
      <w:r w:rsidRPr="00981875">
        <w:rPr>
          <w:sz w:val="22"/>
        </w:rPr>
        <w:t>Par exemple, pour le premier séminaire, nous proposons de travailler les questions suivantes :</w:t>
      </w:r>
    </w:p>
    <w:p w14:paraId="14A2A0F4" w14:textId="4E78B2EB" w:rsidR="008A7983" w:rsidRPr="00981875" w:rsidRDefault="00272791" w:rsidP="008A7983">
      <w:pPr>
        <w:pStyle w:val="ListParagraph"/>
        <w:numPr>
          <w:ilvl w:val="0"/>
          <w:numId w:val="1"/>
        </w:numPr>
        <w:jc w:val="both"/>
        <w:rPr>
          <w:sz w:val="20"/>
          <w:szCs w:val="20"/>
        </w:rPr>
      </w:pPr>
      <w:r w:rsidRPr="00B21B14">
        <w:rPr>
          <w:sz w:val="20"/>
          <w:szCs w:val="20"/>
        </w:rPr>
        <w:lastRenderedPageBreak/>
        <w:t>Comment l’enjeu</w:t>
      </w:r>
      <w:r w:rsidR="00B21B14">
        <w:rPr>
          <w:sz w:val="20"/>
          <w:szCs w:val="20"/>
        </w:rPr>
        <w:t xml:space="preserve"> des discriminations</w:t>
      </w:r>
      <w:r w:rsidRPr="00B21B14">
        <w:rPr>
          <w:sz w:val="20"/>
          <w:szCs w:val="20"/>
        </w:rPr>
        <w:t xml:space="preserve"> s’est</w:t>
      </w:r>
      <w:r w:rsidR="00B21B14">
        <w:rPr>
          <w:sz w:val="20"/>
          <w:szCs w:val="20"/>
        </w:rPr>
        <w:t>-il</w:t>
      </w:r>
      <w:r w:rsidRPr="00B21B14">
        <w:rPr>
          <w:sz w:val="20"/>
          <w:szCs w:val="20"/>
        </w:rPr>
        <w:t xml:space="preserve"> structuré historiquement dans les débats publics et</w:t>
      </w:r>
      <w:r w:rsidR="00B21B14">
        <w:rPr>
          <w:sz w:val="20"/>
          <w:szCs w:val="20"/>
        </w:rPr>
        <w:t>/ou</w:t>
      </w:r>
      <w:r w:rsidRPr="00B21B14">
        <w:rPr>
          <w:sz w:val="20"/>
          <w:szCs w:val="20"/>
        </w:rPr>
        <w:t xml:space="preserve"> dans le travail de recherche scientifique ?</w:t>
      </w:r>
    </w:p>
    <w:p w14:paraId="4414C791" w14:textId="544C2898" w:rsidR="00272791" w:rsidRPr="00981875" w:rsidRDefault="008A7983" w:rsidP="00981875">
      <w:pPr>
        <w:pStyle w:val="ListParagraph"/>
        <w:numPr>
          <w:ilvl w:val="0"/>
          <w:numId w:val="1"/>
        </w:numPr>
        <w:jc w:val="both"/>
        <w:rPr>
          <w:sz w:val="20"/>
          <w:szCs w:val="20"/>
        </w:rPr>
      </w:pPr>
      <w:r w:rsidRPr="004C63D9">
        <w:rPr>
          <w:sz w:val="20"/>
          <w:szCs w:val="20"/>
        </w:rPr>
        <w:t>Comment l’enjeu des discriminations est-il conjugué avec la redistribution sociale et/ou avec l’accès aux droits ?</w:t>
      </w:r>
    </w:p>
    <w:p w14:paraId="7B520A29" w14:textId="13D575C1" w:rsidR="00272791" w:rsidRDefault="00272791" w:rsidP="0013706C">
      <w:pPr>
        <w:pStyle w:val="ListParagraph"/>
        <w:numPr>
          <w:ilvl w:val="0"/>
          <w:numId w:val="1"/>
        </w:numPr>
        <w:jc w:val="both"/>
        <w:rPr>
          <w:sz w:val="20"/>
          <w:szCs w:val="20"/>
        </w:rPr>
      </w:pPr>
      <w:r w:rsidRPr="00B21B14">
        <w:rPr>
          <w:sz w:val="20"/>
          <w:szCs w:val="20"/>
        </w:rPr>
        <w:t xml:space="preserve">Quand et comment l’action publique s’est-elle saisie de ces enjeux ? </w:t>
      </w:r>
      <w:r w:rsidR="00B21B14">
        <w:rPr>
          <w:sz w:val="20"/>
          <w:szCs w:val="20"/>
        </w:rPr>
        <w:t xml:space="preserve">[si ça n’est pas le cas, comment l’expliquer ?] </w:t>
      </w:r>
      <w:r w:rsidRPr="00B21B14">
        <w:rPr>
          <w:sz w:val="20"/>
          <w:szCs w:val="20"/>
        </w:rPr>
        <w:t>L’échelon européen a-t-il constitué une incitation en la matière ?</w:t>
      </w:r>
    </w:p>
    <w:p w14:paraId="155CBE55" w14:textId="77777777" w:rsidR="00272791" w:rsidRDefault="00272791" w:rsidP="0013706C">
      <w:pPr>
        <w:jc w:val="both"/>
      </w:pPr>
    </w:p>
    <w:p w14:paraId="6CE6E8C0" w14:textId="77777777" w:rsidR="00906A86" w:rsidRDefault="00906A86" w:rsidP="0013706C">
      <w:pPr>
        <w:jc w:val="both"/>
      </w:pPr>
    </w:p>
    <w:p w14:paraId="6C177FF7" w14:textId="77777777" w:rsidR="00981875" w:rsidRPr="00981875" w:rsidRDefault="00981875" w:rsidP="0013706C">
      <w:pPr>
        <w:jc w:val="both"/>
        <w:rPr>
          <w:u w:val="single"/>
        </w:rPr>
      </w:pPr>
      <w:r w:rsidRPr="00981875">
        <w:rPr>
          <w:u w:val="single"/>
        </w:rPr>
        <w:t>Intervenant.e.s :</w:t>
      </w:r>
    </w:p>
    <w:p w14:paraId="0EE2C7CC" w14:textId="5C950643" w:rsidR="00981875" w:rsidRPr="00981875" w:rsidRDefault="00FA4299" w:rsidP="0013706C">
      <w:pPr>
        <w:jc w:val="both"/>
        <w:rPr>
          <w:i/>
        </w:rPr>
      </w:pPr>
      <w:r w:rsidRPr="00981875">
        <w:rPr>
          <w:b/>
        </w:rPr>
        <w:t>Karine Briard</w:t>
      </w:r>
      <w:r w:rsidR="00981875" w:rsidRPr="00981875">
        <w:rPr>
          <w:b/>
        </w:rPr>
        <w:t xml:space="preserve">, </w:t>
      </w:r>
      <w:r w:rsidR="00981875" w:rsidRPr="00981875">
        <w:rPr>
          <w:i/>
        </w:rPr>
        <w:t>Dares, Paris</w:t>
      </w:r>
    </w:p>
    <w:p w14:paraId="2D17911C" w14:textId="01739F0C" w:rsidR="00981875" w:rsidRDefault="00981875" w:rsidP="0013706C">
      <w:pPr>
        <w:jc w:val="both"/>
        <w:rPr>
          <w:b/>
        </w:rPr>
      </w:pPr>
      <w:r>
        <w:rPr>
          <w:b/>
        </w:rPr>
        <w:t xml:space="preserve">Vincent-Arnaud Chappe, </w:t>
      </w:r>
      <w:r w:rsidRPr="00981875">
        <w:rPr>
          <w:i/>
        </w:rPr>
        <w:t>CEMS, EHESS, Paris</w:t>
      </w:r>
    </w:p>
    <w:p w14:paraId="7C26BB41" w14:textId="4BA95232" w:rsidR="00981875" w:rsidRDefault="00776570" w:rsidP="00981875">
      <w:pPr>
        <w:jc w:val="both"/>
        <w:rPr>
          <w:b/>
        </w:rPr>
      </w:pPr>
      <w:r w:rsidRPr="00981875">
        <w:rPr>
          <w:b/>
        </w:rPr>
        <w:t>Annie Cornet</w:t>
      </w:r>
      <w:r w:rsidR="00981875" w:rsidRPr="00981875">
        <w:rPr>
          <w:b/>
        </w:rPr>
        <w:t xml:space="preserve">, </w:t>
      </w:r>
      <w:r w:rsidR="00981875" w:rsidRPr="00981875">
        <w:rPr>
          <w:i/>
        </w:rPr>
        <w:t>Université de Liège</w:t>
      </w:r>
    </w:p>
    <w:p w14:paraId="01D0312C" w14:textId="2AFB0D5F" w:rsidR="00D85A98" w:rsidRDefault="00D85A98" w:rsidP="0013706C">
      <w:pPr>
        <w:jc w:val="both"/>
        <w:rPr>
          <w:b/>
        </w:rPr>
      </w:pPr>
      <w:r>
        <w:rPr>
          <w:b/>
        </w:rPr>
        <w:t xml:space="preserve">Marie Mercat-Bruns, </w:t>
      </w:r>
      <w:r w:rsidRPr="00D85A98">
        <w:rPr>
          <w:i/>
        </w:rPr>
        <w:t>Cnam, Lise-CNRS, Paris</w:t>
      </w:r>
    </w:p>
    <w:p w14:paraId="5C40FB7E" w14:textId="39C322E7" w:rsidR="00B62171" w:rsidRPr="00981875" w:rsidRDefault="00981875" w:rsidP="0013706C">
      <w:pPr>
        <w:jc w:val="both"/>
        <w:rPr>
          <w:b/>
        </w:rPr>
      </w:pPr>
      <w:r w:rsidRPr="00981875">
        <w:rPr>
          <w:b/>
        </w:rPr>
        <w:t xml:space="preserve">Gwenaëlle Perrier, </w:t>
      </w:r>
      <w:r w:rsidRPr="00981875">
        <w:rPr>
          <w:i/>
        </w:rPr>
        <w:t>Université Paris 13, Lise-CNRS, Paris</w:t>
      </w:r>
    </w:p>
    <w:p w14:paraId="60B25AD0" w14:textId="5C1E28F5" w:rsidR="002575A6" w:rsidRDefault="00E73058" w:rsidP="0013706C">
      <w:pPr>
        <w:jc w:val="both"/>
        <w:rPr>
          <w:i/>
        </w:rPr>
      </w:pPr>
      <w:r w:rsidRPr="00981875">
        <w:rPr>
          <w:b/>
        </w:rPr>
        <w:t>Ingrid Tucci</w:t>
      </w:r>
      <w:r w:rsidR="00981875">
        <w:rPr>
          <w:b/>
        </w:rPr>
        <w:t xml:space="preserve">, </w:t>
      </w:r>
      <w:r w:rsidR="00981875" w:rsidRPr="00981875">
        <w:rPr>
          <w:i/>
        </w:rPr>
        <w:t>Lest-CNRS, Aix-en-Provence</w:t>
      </w:r>
    </w:p>
    <w:p w14:paraId="7B1DF6E1" w14:textId="77777777" w:rsidR="00913373" w:rsidRPr="00981875" w:rsidRDefault="00913373" w:rsidP="0013706C">
      <w:pPr>
        <w:jc w:val="both"/>
        <w:rPr>
          <w:b/>
        </w:rPr>
      </w:pPr>
      <w:bookmarkStart w:id="0" w:name="_GoBack"/>
      <w:bookmarkEnd w:id="0"/>
    </w:p>
    <w:sectPr w:rsidR="00913373" w:rsidRPr="00981875" w:rsidSect="00D85A98">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CD5DF" w14:textId="77777777" w:rsidR="00065AB4" w:rsidRDefault="00065AB4" w:rsidP="006C7A1E">
      <w:r>
        <w:separator/>
      </w:r>
    </w:p>
  </w:endnote>
  <w:endnote w:type="continuationSeparator" w:id="0">
    <w:p w14:paraId="77658FF8" w14:textId="77777777" w:rsidR="00065AB4" w:rsidRDefault="00065AB4" w:rsidP="006C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92702" w14:textId="77777777" w:rsidR="00065AB4" w:rsidRDefault="00065AB4" w:rsidP="006C7A1E">
      <w:r>
        <w:separator/>
      </w:r>
    </w:p>
  </w:footnote>
  <w:footnote w:type="continuationSeparator" w:id="0">
    <w:p w14:paraId="78EA1A07" w14:textId="77777777" w:rsidR="00065AB4" w:rsidRDefault="00065AB4" w:rsidP="006C7A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022A" w14:textId="77777777" w:rsidR="00065AB4" w:rsidRPr="006C7A1E" w:rsidRDefault="00065AB4" w:rsidP="006C7A1E">
    <w:pPr>
      <w:pStyle w:val="Header"/>
      <w:jc w:val="both"/>
      <w:rPr>
        <w:rFonts w:ascii="Avenir Book" w:hAnsi="Avenir Book"/>
        <w:sz w:val="20"/>
        <w:szCs w:val="20"/>
      </w:rPr>
    </w:pPr>
    <w:r w:rsidRPr="006C7A1E">
      <w:rPr>
        <w:rFonts w:ascii="Avenir Book" w:hAnsi="Avenir Book"/>
        <w:sz w:val="20"/>
        <w:szCs w:val="20"/>
      </w:rPr>
      <w:t xml:space="preserve">ANR-DFG ACCESS-plus </w:t>
    </w:r>
  </w:p>
  <w:p w14:paraId="1F502829" w14:textId="55ACE850" w:rsidR="00065AB4" w:rsidRPr="006C7A1E" w:rsidRDefault="00065AB4" w:rsidP="006C7A1E">
    <w:pPr>
      <w:pStyle w:val="Header"/>
      <w:jc w:val="both"/>
      <w:rPr>
        <w:rFonts w:ascii="Avenir Book" w:hAnsi="Avenir Book"/>
        <w:sz w:val="20"/>
        <w:szCs w:val="20"/>
      </w:rPr>
    </w:pPr>
    <w:r w:rsidRPr="006C7A1E">
      <w:rPr>
        <w:rFonts w:ascii="Avenir Book" w:hAnsi="Avenir Book"/>
        <w:sz w:val="20"/>
        <w:szCs w:val="20"/>
      </w:rPr>
      <w:t>Accès aux droits sociaux en France et en Allemagne – Inégalités et discriminations, genre et migrations dans les jeux d’échelle de l’espace européen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E6C"/>
    <w:multiLevelType w:val="hybridMultilevel"/>
    <w:tmpl w:val="DBBE8C34"/>
    <w:lvl w:ilvl="0" w:tplc="863C2E7C">
      <w:start w:val="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0C"/>
    <w:rsid w:val="00065AB4"/>
    <w:rsid w:val="001354D3"/>
    <w:rsid w:val="0013706C"/>
    <w:rsid w:val="00142BE2"/>
    <w:rsid w:val="001466AA"/>
    <w:rsid w:val="0015583B"/>
    <w:rsid w:val="00182D4F"/>
    <w:rsid w:val="001C0A8F"/>
    <w:rsid w:val="001E7FC8"/>
    <w:rsid w:val="0024654E"/>
    <w:rsid w:val="002575A6"/>
    <w:rsid w:val="00270A1E"/>
    <w:rsid w:val="00272791"/>
    <w:rsid w:val="00344A74"/>
    <w:rsid w:val="00346EF4"/>
    <w:rsid w:val="0042663F"/>
    <w:rsid w:val="00485598"/>
    <w:rsid w:val="004C63D9"/>
    <w:rsid w:val="005A34D8"/>
    <w:rsid w:val="005A7C0D"/>
    <w:rsid w:val="005E7D31"/>
    <w:rsid w:val="005F3D61"/>
    <w:rsid w:val="006B4BD7"/>
    <w:rsid w:val="006C7A1E"/>
    <w:rsid w:val="006D053D"/>
    <w:rsid w:val="00755E22"/>
    <w:rsid w:val="00776570"/>
    <w:rsid w:val="007C3643"/>
    <w:rsid w:val="008079F0"/>
    <w:rsid w:val="008A7983"/>
    <w:rsid w:val="00906A86"/>
    <w:rsid w:val="00913373"/>
    <w:rsid w:val="00950651"/>
    <w:rsid w:val="00981875"/>
    <w:rsid w:val="009D1AA4"/>
    <w:rsid w:val="00B21B14"/>
    <w:rsid w:val="00B260BC"/>
    <w:rsid w:val="00B62171"/>
    <w:rsid w:val="00B62642"/>
    <w:rsid w:val="00BA5A41"/>
    <w:rsid w:val="00BC3AE8"/>
    <w:rsid w:val="00D7114F"/>
    <w:rsid w:val="00D85A98"/>
    <w:rsid w:val="00DB0763"/>
    <w:rsid w:val="00DB10C1"/>
    <w:rsid w:val="00E34BC6"/>
    <w:rsid w:val="00E35E69"/>
    <w:rsid w:val="00E50A0C"/>
    <w:rsid w:val="00E73058"/>
    <w:rsid w:val="00EA24B1"/>
    <w:rsid w:val="00EC101F"/>
    <w:rsid w:val="00ED57FE"/>
    <w:rsid w:val="00FA42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791"/>
    <w:pPr>
      <w:ind w:left="720"/>
      <w:contextualSpacing/>
    </w:pPr>
  </w:style>
  <w:style w:type="paragraph" w:styleId="Header">
    <w:name w:val="header"/>
    <w:basedOn w:val="Normal"/>
    <w:link w:val="HeaderChar"/>
    <w:uiPriority w:val="99"/>
    <w:unhideWhenUsed/>
    <w:rsid w:val="006C7A1E"/>
    <w:pPr>
      <w:tabs>
        <w:tab w:val="center" w:pos="4153"/>
        <w:tab w:val="right" w:pos="8306"/>
      </w:tabs>
    </w:pPr>
  </w:style>
  <w:style w:type="character" w:customStyle="1" w:styleId="HeaderChar">
    <w:name w:val="Header Char"/>
    <w:basedOn w:val="DefaultParagraphFont"/>
    <w:link w:val="Header"/>
    <w:uiPriority w:val="99"/>
    <w:rsid w:val="006C7A1E"/>
  </w:style>
  <w:style w:type="paragraph" w:styleId="Footer">
    <w:name w:val="footer"/>
    <w:basedOn w:val="Normal"/>
    <w:link w:val="FooterChar"/>
    <w:uiPriority w:val="99"/>
    <w:unhideWhenUsed/>
    <w:rsid w:val="006C7A1E"/>
    <w:pPr>
      <w:tabs>
        <w:tab w:val="center" w:pos="4153"/>
        <w:tab w:val="right" w:pos="8306"/>
      </w:tabs>
    </w:pPr>
  </w:style>
  <w:style w:type="character" w:customStyle="1" w:styleId="FooterChar">
    <w:name w:val="Footer Char"/>
    <w:basedOn w:val="DefaultParagraphFont"/>
    <w:link w:val="Footer"/>
    <w:uiPriority w:val="99"/>
    <w:rsid w:val="006C7A1E"/>
  </w:style>
  <w:style w:type="character" w:styleId="Hyperlink">
    <w:name w:val="Hyperlink"/>
    <w:basedOn w:val="DefaultParagraphFont"/>
    <w:uiPriority w:val="99"/>
    <w:unhideWhenUsed/>
    <w:rsid w:val="00DB10C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791"/>
    <w:pPr>
      <w:ind w:left="720"/>
      <w:contextualSpacing/>
    </w:pPr>
  </w:style>
  <w:style w:type="paragraph" w:styleId="Header">
    <w:name w:val="header"/>
    <w:basedOn w:val="Normal"/>
    <w:link w:val="HeaderChar"/>
    <w:uiPriority w:val="99"/>
    <w:unhideWhenUsed/>
    <w:rsid w:val="006C7A1E"/>
    <w:pPr>
      <w:tabs>
        <w:tab w:val="center" w:pos="4153"/>
        <w:tab w:val="right" w:pos="8306"/>
      </w:tabs>
    </w:pPr>
  </w:style>
  <w:style w:type="character" w:customStyle="1" w:styleId="HeaderChar">
    <w:name w:val="Header Char"/>
    <w:basedOn w:val="DefaultParagraphFont"/>
    <w:link w:val="Header"/>
    <w:uiPriority w:val="99"/>
    <w:rsid w:val="006C7A1E"/>
  </w:style>
  <w:style w:type="paragraph" w:styleId="Footer">
    <w:name w:val="footer"/>
    <w:basedOn w:val="Normal"/>
    <w:link w:val="FooterChar"/>
    <w:uiPriority w:val="99"/>
    <w:unhideWhenUsed/>
    <w:rsid w:val="006C7A1E"/>
    <w:pPr>
      <w:tabs>
        <w:tab w:val="center" w:pos="4153"/>
        <w:tab w:val="right" w:pos="8306"/>
      </w:tabs>
    </w:pPr>
  </w:style>
  <w:style w:type="character" w:customStyle="1" w:styleId="FooterChar">
    <w:name w:val="Footer Char"/>
    <w:basedOn w:val="DefaultParagraphFont"/>
    <w:link w:val="Footer"/>
    <w:uiPriority w:val="99"/>
    <w:rsid w:val="006C7A1E"/>
  </w:style>
  <w:style w:type="character" w:styleId="Hyperlink">
    <w:name w:val="Hyperlink"/>
    <w:basedOn w:val="DefaultParagraphFont"/>
    <w:uiPriority w:val="99"/>
    <w:unhideWhenUsed/>
    <w:rsid w:val="00DB1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aera.mariaux@lecnam.ne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583</Words>
  <Characters>3326</Characters>
  <Application>Microsoft Macintosh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Nikola_Tietze</cp:lastModifiedBy>
  <cp:revision>11</cp:revision>
  <dcterms:created xsi:type="dcterms:W3CDTF">2021-01-07T15:49:00Z</dcterms:created>
  <dcterms:modified xsi:type="dcterms:W3CDTF">2021-01-18T14:09:00Z</dcterms:modified>
</cp:coreProperties>
</file>