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58046699"/>
    <w:bookmarkStart w:id="1" w:name="_MON_1658221935"/>
    <w:bookmarkEnd w:id="0"/>
    <w:bookmarkEnd w:id="1"/>
    <w:bookmarkStart w:id="2" w:name="_MON_1658221965"/>
    <w:bookmarkEnd w:id="2"/>
    <w:p w14:paraId="2642E43E" w14:textId="77777777" w:rsidR="00861FC0" w:rsidRPr="004E4E61" w:rsidRDefault="001528E9" w:rsidP="00861FC0">
      <w:pPr>
        <w:jc w:val="center"/>
        <w:rPr>
          <w:rFonts w:ascii="PMingLiU" w:eastAsia="PMingLiU"/>
          <w:color w:val="000000" w:themeColor="text1"/>
          <w:sz w:val="20"/>
        </w:rPr>
      </w:pPr>
      <w:r w:rsidRPr="004E4E61">
        <w:rPr>
          <w:rFonts w:ascii="PMingLiU" w:eastAsia="PMingLiU"/>
          <w:noProof/>
          <w:color w:val="000000" w:themeColor="text1"/>
          <w:sz w:val="20"/>
        </w:rPr>
        <w:object w:dxaOrig="7070" w:dyaOrig="1285" w14:anchorId="2510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3.5pt;height:64.2pt;mso-width-percent:0;mso-height-percent:0;mso-width-percent:0;mso-height-percent:0" o:ole="">
            <v:imagedata r:id="rId7" o:title=""/>
          </v:shape>
          <o:OLEObject Type="Embed" ProgID="Word.Picture.8" ShapeID="_x0000_i1025" DrawAspect="Content" ObjectID="_1661609412" r:id="rId8"/>
        </w:object>
      </w:r>
    </w:p>
    <w:p w14:paraId="6F3AF763" w14:textId="77777777" w:rsidR="00861FC0" w:rsidRPr="004E4E61" w:rsidRDefault="00861FC0" w:rsidP="00861FC0">
      <w:pPr>
        <w:rPr>
          <w:rFonts w:ascii="Georgia" w:hAnsi="Georgia" w:cs="Times New Roman"/>
          <w:color w:val="000000" w:themeColor="text1"/>
        </w:rPr>
      </w:pPr>
    </w:p>
    <w:p w14:paraId="44317B23" w14:textId="77777777" w:rsidR="00861FC0" w:rsidRPr="004E4E61" w:rsidRDefault="00861FC0" w:rsidP="00861FC0">
      <w:pPr>
        <w:jc w:val="center"/>
        <w:rPr>
          <w:rFonts w:ascii="Georgia" w:hAnsi="Georgia" w:cs="Times New Roman"/>
          <w:color w:val="000000" w:themeColor="text1"/>
        </w:rPr>
      </w:pPr>
    </w:p>
    <w:p w14:paraId="394DD664" w14:textId="77777777" w:rsidR="00861FC0" w:rsidRPr="004E4E61" w:rsidRDefault="00861FC0" w:rsidP="00861FC0">
      <w:pPr>
        <w:jc w:val="center"/>
        <w:rPr>
          <w:rFonts w:ascii="Georgia" w:hAnsi="Georgia" w:cs="Times New Roman"/>
          <w:color w:val="000000" w:themeColor="text1"/>
          <w:lang w:val="fr-FR"/>
        </w:rPr>
      </w:pPr>
      <w:r w:rsidRPr="004E4E61">
        <w:rPr>
          <w:rFonts w:ascii="Georgia" w:hAnsi="Georgia" w:cs="Times New Roman"/>
          <w:color w:val="000000" w:themeColor="text1"/>
          <w:lang w:val="fr-FR"/>
        </w:rPr>
        <w:t xml:space="preserve">Les 22 et 23 octobre 2021 aura lieu </w:t>
      </w:r>
    </w:p>
    <w:p w14:paraId="7A268AA6" w14:textId="0E11DD94" w:rsidR="00861FC0" w:rsidRPr="004E4E61" w:rsidRDefault="00861FC0" w:rsidP="00861FC0">
      <w:pPr>
        <w:jc w:val="center"/>
        <w:rPr>
          <w:rFonts w:ascii="Georgia" w:hAnsi="Georgia" w:cs="Times New Roman"/>
          <w:color w:val="000000" w:themeColor="text1"/>
          <w:lang w:val="fr-FR"/>
        </w:rPr>
      </w:pPr>
      <w:proofErr w:type="gramStart"/>
      <w:r w:rsidRPr="004E4E61">
        <w:rPr>
          <w:rFonts w:ascii="Georgia" w:hAnsi="Georgia" w:cs="Times New Roman"/>
          <w:color w:val="000000" w:themeColor="text1"/>
          <w:lang w:val="fr-FR"/>
        </w:rPr>
        <w:t>à</w:t>
      </w:r>
      <w:proofErr w:type="gramEnd"/>
      <w:r w:rsidRPr="004E4E61">
        <w:rPr>
          <w:rFonts w:ascii="Georgia" w:hAnsi="Georgia" w:cs="Times New Roman"/>
          <w:color w:val="000000" w:themeColor="text1"/>
          <w:lang w:val="fr-FR"/>
        </w:rPr>
        <w:t xml:space="preserve"> l’Université Nationale Centrale de Ta</w:t>
      </w:r>
      <w:r w:rsidR="00A44048" w:rsidRPr="004E4E61">
        <w:rPr>
          <w:rFonts w:ascii="Georgia" w:hAnsi="Georgia" w:cs="Times New Roman"/>
          <w:color w:val="000000" w:themeColor="text1"/>
          <w:lang w:val="fr-FR"/>
        </w:rPr>
        <w:t>ï</w:t>
      </w:r>
      <w:r w:rsidRPr="004E4E61">
        <w:rPr>
          <w:rFonts w:ascii="Georgia" w:hAnsi="Georgia" w:cs="Times New Roman"/>
          <w:color w:val="000000" w:themeColor="text1"/>
          <w:lang w:val="fr-FR"/>
        </w:rPr>
        <w:t xml:space="preserve">wan </w:t>
      </w:r>
      <w:r w:rsidR="00A44048" w:rsidRPr="004E4E61">
        <w:rPr>
          <w:rFonts w:ascii="Georgia" w:hAnsi="Georgia" w:cs="Times New Roman"/>
          <w:color w:val="000000" w:themeColor="text1"/>
          <w:lang w:val="fr-FR"/>
        </w:rPr>
        <w:t xml:space="preserve"> </w:t>
      </w:r>
    </w:p>
    <w:p w14:paraId="33A1F7B8" w14:textId="77777777" w:rsidR="00861FC0" w:rsidRPr="004E4E61" w:rsidRDefault="00861FC0" w:rsidP="00861FC0">
      <w:pPr>
        <w:jc w:val="center"/>
        <w:rPr>
          <w:rFonts w:ascii="Georgia" w:hAnsi="Georgia" w:cs="Times New Roman"/>
          <w:color w:val="000000" w:themeColor="text1"/>
          <w:lang w:val="fr-FR"/>
        </w:rPr>
      </w:pPr>
      <w:proofErr w:type="gramStart"/>
      <w:r w:rsidRPr="004E4E61">
        <w:rPr>
          <w:rFonts w:ascii="Georgia" w:hAnsi="Georgia" w:cs="Times New Roman"/>
          <w:color w:val="000000" w:themeColor="text1"/>
          <w:lang w:val="fr-FR"/>
        </w:rPr>
        <w:t>le</w:t>
      </w:r>
      <w:proofErr w:type="gramEnd"/>
      <w:r w:rsidRPr="004E4E61">
        <w:rPr>
          <w:rFonts w:ascii="Georgia" w:hAnsi="Georgia" w:cs="Times New Roman"/>
          <w:b/>
          <w:color w:val="000000" w:themeColor="text1"/>
          <w:lang w:val="fr-FR"/>
        </w:rPr>
        <w:t xml:space="preserve"> colloque international</w:t>
      </w:r>
      <w:r w:rsidRPr="004E4E61">
        <w:rPr>
          <w:rFonts w:ascii="Georgia" w:hAnsi="Georgia" w:cs="Times New Roman"/>
          <w:color w:val="000000" w:themeColor="text1"/>
          <w:lang w:val="fr-FR"/>
        </w:rPr>
        <w:t xml:space="preserve"> </w:t>
      </w:r>
    </w:p>
    <w:p w14:paraId="67A91998" w14:textId="77777777" w:rsidR="00861FC0" w:rsidRPr="004E4E61" w:rsidRDefault="00861FC0" w:rsidP="00861FC0">
      <w:pPr>
        <w:jc w:val="center"/>
        <w:rPr>
          <w:rFonts w:ascii="Georgia" w:hAnsi="Georgia" w:cs="Times New Roman"/>
          <w:color w:val="000000" w:themeColor="text1"/>
          <w:lang w:val="fr-FR"/>
        </w:rPr>
      </w:pPr>
    </w:p>
    <w:p w14:paraId="5D47CE8F" w14:textId="77777777" w:rsidR="00861FC0" w:rsidRPr="004E4E61" w:rsidRDefault="00861FC0" w:rsidP="00861FC0">
      <w:pPr>
        <w:pStyle w:val="NormalWeb"/>
        <w:spacing w:beforeAutospacing="0" w:afterAutospacing="0" w:line="100" w:lineRule="atLeast"/>
        <w:jc w:val="center"/>
        <w:rPr>
          <w:rFonts w:ascii="Georgia" w:hAnsi="Georgia" w:cs="Times New Roman"/>
          <w:b/>
          <w:color w:val="000000" w:themeColor="text1"/>
          <w:sz w:val="26"/>
          <w:szCs w:val="26"/>
          <w:lang w:val="fr-CH"/>
        </w:rPr>
      </w:pPr>
      <w:r w:rsidRPr="004E4E61">
        <w:rPr>
          <w:rFonts w:ascii="Georgia" w:hAnsi="Georgia" w:cs="Times New Roman"/>
          <w:b/>
          <w:color w:val="000000" w:themeColor="text1"/>
          <w:sz w:val="26"/>
          <w:szCs w:val="26"/>
          <w:lang w:val="fr-CH"/>
        </w:rPr>
        <w:t>Survivance des images, transdisciplinarité et transculturalité</w:t>
      </w:r>
    </w:p>
    <w:p w14:paraId="26CC24D5" w14:textId="77777777" w:rsidR="00861FC0" w:rsidRPr="004E4E61" w:rsidRDefault="00861FC0" w:rsidP="00861FC0">
      <w:pPr>
        <w:jc w:val="center"/>
        <w:rPr>
          <w:rFonts w:ascii="Georgia" w:hAnsi="Georgia" w:cs="Times New Roman"/>
          <w:color w:val="000000" w:themeColor="text1"/>
          <w:lang w:val="fr-CH"/>
        </w:rPr>
      </w:pPr>
    </w:p>
    <w:p w14:paraId="00ADD3E7" w14:textId="29A62C4F" w:rsidR="00861FC0" w:rsidRPr="004E4E61" w:rsidRDefault="00861FC0" w:rsidP="00861FC0">
      <w:pPr>
        <w:jc w:val="center"/>
        <w:rPr>
          <w:rFonts w:ascii="Georgia" w:hAnsi="Georgia" w:cs="Times New Roman"/>
          <w:color w:val="000000" w:themeColor="text1"/>
          <w:lang w:val="fr-FR"/>
        </w:rPr>
      </w:pPr>
      <w:proofErr w:type="gramStart"/>
      <w:r w:rsidRPr="004E4E61">
        <w:rPr>
          <w:rFonts w:ascii="Georgia" w:hAnsi="Georgia" w:cs="Times New Roman"/>
          <w:color w:val="000000" w:themeColor="text1"/>
          <w:lang w:val="fr-FR"/>
        </w:rPr>
        <w:t>organisé</w:t>
      </w:r>
      <w:proofErr w:type="gramEnd"/>
      <w:r w:rsidRPr="004E4E61">
        <w:rPr>
          <w:rFonts w:ascii="Georgia" w:hAnsi="Georgia" w:cs="Times New Roman"/>
          <w:color w:val="000000" w:themeColor="text1"/>
          <w:lang w:val="fr-FR"/>
        </w:rPr>
        <w:t xml:space="preserve"> par le département de langue et littérature française</w:t>
      </w:r>
      <w:r w:rsidR="00A44048" w:rsidRPr="004E4E61">
        <w:rPr>
          <w:rFonts w:ascii="Georgia" w:hAnsi="Georgia" w:cs="Times New Roman"/>
          <w:color w:val="000000" w:themeColor="text1"/>
          <w:lang w:val="fr-FR"/>
        </w:rPr>
        <w:t>s</w:t>
      </w:r>
      <w:r w:rsidRPr="004E4E61">
        <w:rPr>
          <w:rFonts w:ascii="Georgia" w:hAnsi="Georgia" w:cs="Times New Roman"/>
          <w:color w:val="000000" w:themeColor="text1"/>
          <w:lang w:val="fr-FR"/>
        </w:rPr>
        <w:t xml:space="preserve"> </w:t>
      </w:r>
      <w:r w:rsidR="00A44048" w:rsidRPr="004E4E61">
        <w:rPr>
          <w:rFonts w:ascii="Georgia" w:hAnsi="Georgia" w:cs="Times New Roman"/>
          <w:color w:val="000000" w:themeColor="text1"/>
          <w:lang w:val="fr-FR"/>
        </w:rPr>
        <w:t>de l’</w:t>
      </w:r>
      <w:r w:rsidRPr="004E4E61">
        <w:rPr>
          <w:rFonts w:ascii="Georgia" w:hAnsi="Georgia" w:cs="Times New Roman"/>
          <w:color w:val="000000" w:themeColor="text1"/>
          <w:lang w:val="fr-FR"/>
        </w:rPr>
        <w:t>Université Nationale Centrale de Ta</w:t>
      </w:r>
      <w:r w:rsidR="00A44048" w:rsidRPr="004E4E61">
        <w:rPr>
          <w:rFonts w:ascii="Georgia" w:hAnsi="Georgia" w:cs="Times New Roman"/>
          <w:color w:val="000000" w:themeColor="text1"/>
          <w:lang w:val="fr-FR"/>
        </w:rPr>
        <w:t>ï</w:t>
      </w:r>
      <w:r w:rsidRPr="004E4E61">
        <w:rPr>
          <w:rFonts w:ascii="Georgia" w:hAnsi="Georgia" w:cs="Times New Roman"/>
          <w:color w:val="000000" w:themeColor="text1"/>
          <w:lang w:val="fr-FR"/>
        </w:rPr>
        <w:t>wan</w:t>
      </w:r>
      <w:r w:rsidR="00D15C54" w:rsidRPr="004E4E61">
        <w:rPr>
          <w:rFonts w:ascii="Georgia" w:hAnsi="Georgia" w:cs="Times New Roman"/>
          <w:color w:val="000000" w:themeColor="text1"/>
          <w:lang w:val="fr-FR"/>
        </w:rPr>
        <w:t xml:space="preserve"> </w:t>
      </w:r>
      <w:r w:rsidRPr="004E4E61">
        <w:rPr>
          <w:rFonts w:ascii="Georgia" w:hAnsi="Georgia" w:cs="Times New Roman"/>
          <w:color w:val="000000" w:themeColor="text1"/>
          <w:lang w:val="fr-FR"/>
        </w:rPr>
        <w:t>et</w:t>
      </w:r>
      <w:r w:rsidR="00197243" w:rsidRPr="004E4E61">
        <w:rPr>
          <w:rFonts w:ascii="Georgia" w:hAnsi="Georgia" w:cs="Times New Roman"/>
          <w:color w:val="000000" w:themeColor="text1"/>
          <w:lang w:val="fr-FR"/>
        </w:rPr>
        <w:t xml:space="preserve"> </w:t>
      </w:r>
      <w:r w:rsidR="00023396" w:rsidRPr="004E4E61">
        <w:rPr>
          <w:rFonts w:ascii="Georgia" w:hAnsi="Georgia" w:cs="Times New Roman"/>
          <w:color w:val="000000" w:themeColor="text1"/>
          <w:lang w:val="fr-FR"/>
        </w:rPr>
        <w:t>le Laboratoire Passages Arts &amp; Littératures XX-XXI</w:t>
      </w:r>
      <w:r w:rsidRPr="004E4E61">
        <w:rPr>
          <w:rFonts w:ascii="Georgia" w:hAnsi="Georgia" w:cs="Times New Roman"/>
          <w:color w:val="000000" w:themeColor="text1"/>
          <w:lang w:val="fr-FR"/>
        </w:rPr>
        <w:t xml:space="preserve"> (Université </w:t>
      </w:r>
      <w:r w:rsidR="00844682" w:rsidRPr="004E4E61">
        <w:rPr>
          <w:rFonts w:ascii="Georgia" w:hAnsi="Georgia" w:cs="Times New Roman"/>
          <w:color w:val="000000" w:themeColor="text1"/>
          <w:lang w:val="fr-FR"/>
        </w:rPr>
        <w:t>Lumière</w:t>
      </w:r>
      <w:r w:rsidRPr="004E4E61">
        <w:rPr>
          <w:rFonts w:ascii="Georgia" w:hAnsi="Georgia" w:cs="Times New Roman"/>
          <w:color w:val="000000" w:themeColor="text1"/>
          <w:lang w:val="fr-FR"/>
        </w:rPr>
        <w:t>-</w:t>
      </w:r>
      <w:r w:rsidR="00844682" w:rsidRPr="004E4E61">
        <w:rPr>
          <w:rFonts w:ascii="Georgia" w:hAnsi="Georgia" w:cs="Times New Roman"/>
          <w:color w:val="000000" w:themeColor="text1"/>
          <w:lang w:val="fr-FR"/>
        </w:rPr>
        <w:t>Lyon</w:t>
      </w:r>
      <w:r w:rsidRPr="004E4E61">
        <w:rPr>
          <w:rFonts w:ascii="Georgia" w:hAnsi="Georgia" w:cs="Times New Roman"/>
          <w:color w:val="000000" w:themeColor="text1"/>
          <w:lang w:val="fr-FR"/>
        </w:rPr>
        <w:t xml:space="preserve"> </w:t>
      </w:r>
      <w:r w:rsidR="00844682" w:rsidRPr="004E4E61">
        <w:rPr>
          <w:rFonts w:ascii="Georgia" w:hAnsi="Georgia" w:cs="Times New Roman"/>
          <w:color w:val="000000" w:themeColor="text1"/>
          <w:lang w:val="fr-FR"/>
        </w:rPr>
        <w:t>2</w:t>
      </w:r>
      <w:r w:rsidRPr="004E4E61">
        <w:rPr>
          <w:rFonts w:ascii="Georgia" w:hAnsi="Georgia" w:cs="Times New Roman"/>
          <w:color w:val="000000" w:themeColor="text1"/>
          <w:lang w:val="fr-FR"/>
        </w:rPr>
        <w:t>)</w:t>
      </w:r>
    </w:p>
    <w:p w14:paraId="27A6F433" w14:textId="77777777" w:rsidR="00861FC0" w:rsidRPr="004E4E61" w:rsidRDefault="00861FC0" w:rsidP="00861FC0">
      <w:pPr>
        <w:rPr>
          <w:rFonts w:ascii="Times New Roman" w:hAnsi="Times New Roman" w:cs="Times New Roman"/>
          <w:color w:val="000000" w:themeColor="text1"/>
          <w:lang w:val="fr-FR"/>
        </w:rPr>
      </w:pPr>
    </w:p>
    <w:p w14:paraId="4AF3139B" w14:textId="77777777" w:rsidR="00861FC0" w:rsidRPr="004E4E61" w:rsidRDefault="004C36A2" w:rsidP="00861FC0">
      <w:pPr>
        <w:jc w:val="center"/>
        <w:rPr>
          <w:rFonts w:ascii="Times New Roman" w:hAnsi="Times New Roman" w:cs="Times New Roman"/>
          <w:b/>
          <w:color w:val="000000" w:themeColor="text1"/>
          <w:lang w:val="fr-FR"/>
        </w:rPr>
      </w:pPr>
      <w:r w:rsidRPr="004E4E61">
        <w:rPr>
          <w:rFonts w:ascii="Times New Roman" w:hAnsi="Times New Roman" w:cs="Times New Roman"/>
          <w:b/>
          <w:color w:val="000000" w:themeColor="text1"/>
          <w:lang w:val="fr-FR"/>
        </w:rPr>
        <w:t>Argumentaire</w:t>
      </w:r>
    </w:p>
    <w:p w14:paraId="6A4406CC" w14:textId="77777777" w:rsidR="00861FC0" w:rsidRPr="004E4E61" w:rsidRDefault="00861FC0" w:rsidP="00861FC0">
      <w:pPr>
        <w:rPr>
          <w:rFonts w:ascii="Times New Roman" w:hAnsi="Times New Roman" w:cs="Times New Roman"/>
          <w:color w:val="000000" w:themeColor="text1"/>
          <w:lang w:val="fr-FR"/>
        </w:rPr>
      </w:pPr>
    </w:p>
    <w:p w14:paraId="3ADF4A6D" w14:textId="77777777" w:rsidR="009D0A3B" w:rsidRPr="004E4E61" w:rsidRDefault="009D0A3B">
      <w:pPr>
        <w:jc w:val="both"/>
        <w:rPr>
          <w:rFonts w:ascii="Times New Roman" w:hAnsi="Times New Roman" w:cs="Times New Roman"/>
          <w:color w:val="000000" w:themeColor="text1"/>
          <w:lang w:val="fr-FR"/>
        </w:rPr>
      </w:pPr>
    </w:p>
    <w:p w14:paraId="2337053A" w14:textId="77777777" w:rsidR="004C36A2" w:rsidRPr="004E4E61" w:rsidRDefault="004C36A2">
      <w:pPr>
        <w:jc w:val="both"/>
        <w:rPr>
          <w:rFonts w:ascii="Times New Roman" w:hAnsi="Times New Roman" w:cs="Times New Roman"/>
          <w:color w:val="000000" w:themeColor="text1"/>
          <w:lang w:val="fr-FR"/>
        </w:rPr>
      </w:pPr>
    </w:p>
    <w:p w14:paraId="10D03C71" w14:textId="7D752F86" w:rsidR="009D0A3B" w:rsidRPr="004E4E61" w:rsidRDefault="00C4244E">
      <w:pPr>
        <w:jc w:val="both"/>
        <w:rPr>
          <w:rFonts w:ascii="Times New Roman" w:hAnsi="Times New Roman" w:cs="Times New Roman"/>
          <w:color w:val="000000" w:themeColor="text1"/>
          <w:lang w:val="fr-FR"/>
        </w:rPr>
      </w:pPr>
      <w:r w:rsidRPr="004E4E61">
        <w:rPr>
          <w:rFonts w:ascii="Times New Roman" w:hAnsi="Times New Roman" w:cs="Times New Roman"/>
          <w:color w:val="000000" w:themeColor="text1"/>
          <w:lang w:val="fr-FR"/>
        </w:rPr>
        <w:t>Dans une perspective de dialogue entre les disciplines et les cultures, ce colloque international organisé à l’Université Nationale Centrale de Taïwan</w:t>
      </w:r>
      <w:r w:rsidR="002C72F9" w:rsidRPr="004E4E61">
        <w:rPr>
          <w:rFonts w:ascii="Times New Roman" w:hAnsi="Times New Roman" w:cs="Times New Roman"/>
          <w:color w:val="000000" w:themeColor="text1"/>
          <w:lang w:val="fr-FR"/>
        </w:rPr>
        <w:t>,</w:t>
      </w:r>
      <w:r w:rsidRPr="004E4E61">
        <w:rPr>
          <w:rFonts w:ascii="Times New Roman" w:hAnsi="Times New Roman" w:cs="Times New Roman"/>
          <w:color w:val="000000" w:themeColor="text1"/>
          <w:lang w:val="fr-FR"/>
        </w:rPr>
        <w:t xml:space="preserve"> fait suite aux journées d’études « </w:t>
      </w:r>
      <w:r w:rsidR="005A2337" w:rsidRPr="004E4E61">
        <w:rPr>
          <w:rFonts w:ascii="Times New Roman" w:hAnsi="Times New Roman" w:cs="Times New Roman"/>
          <w:color w:val="000000" w:themeColor="text1"/>
          <w:lang w:val="fr-FR"/>
        </w:rPr>
        <w:t>U</w:t>
      </w:r>
      <w:r w:rsidRPr="004E4E61">
        <w:rPr>
          <w:rFonts w:ascii="Times New Roman" w:hAnsi="Times New Roman" w:cs="Times New Roman"/>
          <w:color w:val="000000" w:themeColor="text1"/>
          <w:lang w:val="fr-FR"/>
        </w:rPr>
        <w:t>ne archéologie des survivances d’images : iconologie, généalogie, théorie »</w:t>
      </w:r>
      <w:r w:rsidR="00023396" w:rsidRPr="004E4E61">
        <w:rPr>
          <w:rFonts w:ascii="Times New Roman" w:hAnsi="Times New Roman" w:cs="Times New Roman"/>
          <w:color w:val="000000" w:themeColor="text1"/>
          <w:lang w:val="fr-FR"/>
        </w:rPr>
        <w:t xml:space="preserve"> qui se tiendront</w:t>
      </w:r>
      <w:r w:rsidRPr="004E4E61">
        <w:rPr>
          <w:rFonts w:ascii="Times New Roman" w:hAnsi="Times New Roman" w:cs="Times New Roman"/>
          <w:color w:val="000000" w:themeColor="text1"/>
          <w:lang w:val="fr-FR"/>
        </w:rPr>
        <w:t xml:space="preserve"> à l’</w:t>
      </w:r>
      <w:r w:rsidR="005A2337" w:rsidRPr="004E4E61">
        <w:rPr>
          <w:rFonts w:ascii="Times New Roman" w:hAnsi="Times New Roman" w:cs="Times New Roman"/>
          <w:color w:val="000000" w:themeColor="text1"/>
          <w:lang w:val="fr-FR"/>
        </w:rPr>
        <w:t>Université Lumière Lyon 2</w:t>
      </w:r>
      <w:r w:rsidR="00143692" w:rsidRPr="004E4E61">
        <w:rPr>
          <w:rFonts w:ascii="Times New Roman" w:hAnsi="Times New Roman" w:cs="Times New Roman"/>
          <w:color w:val="000000" w:themeColor="text1"/>
          <w:lang w:val="fr-FR"/>
        </w:rPr>
        <w:t xml:space="preserve"> en </w:t>
      </w:r>
      <w:r w:rsidR="00143692" w:rsidRPr="004E4E61">
        <w:rPr>
          <w:rFonts w:ascii="Times New Roman" w:hAnsi="Times New Roman" w:cs="Times New Roman" w:hint="eastAsia"/>
          <w:color w:val="000000" w:themeColor="text1"/>
          <w:lang w:val="fr-FR"/>
        </w:rPr>
        <w:t>f</w:t>
      </w:r>
      <w:r w:rsidR="00143692" w:rsidRPr="004E4E61">
        <w:rPr>
          <w:rFonts w:ascii="Times New Roman" w:hAnsi="Times New Roman" w:cs="Times New Roman"/>
          <w:color w:val="000000" w:themeColor="text1"/>
          <w:lang w:val="fr-FR"/>
        </w:rPr>
        <w:t>évrier 2021</w:t>
      </w:r>
      <w:r w:rsidR="005A2337" w:rsidRPr="004E4E61">
        <w:rPr>
          <w:rFonts w:ascii="Times New Roman" w:hAnsi="Times New Roman" w:cs="Times New Roman"/>
          <w:color w:val="000000" w:themeColor="text1"/>
          <w:lang w:val="fr-FR"/>
        </w:rPr>
        <w:t>.</w:t>
      </w:r>
    </w:p>
    <w:p w14:paraId="1FAB81A3" w14:textId="77777777" w:rsidR="009D0A3B" w:rsidRPr="004E4E61" w:rsidRDefault="009D0A3B">
      <w:pPr>
        <w:jc w:val="both"/>
        <w:rPr>
          <w:rFonts w:ascii="Times New Roman" w:hAnsi="Times New Roman" w:cs="Times New Roman"/>
          <w:color w:val="000000" w:themeColor="text1"/>
          <w:lang w:val="fr-FR"/>
        </w:rPr>
      </w:pPr>
    </w:p>
    <w:p w14:paraId="119901BD" w14:textId="77777777" w:rsidR="009D0A3B" w:rsidRPr="004E4E61" w:rsidRDefault="00C4244E">
      <w:pPr>
        <w:pStyle w:val="NormalWeb"/>
        <w:spacing w:beforeAutospacing="0" w:afterAutospacing="0" w:line="100" w:lineRule="atLeast"/>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 xml:space="preserve">La </w:t>
      </w:r>
      <w:r w:rsidRPr="004E4E61">
        <w:rPr>
          <w:rFonts w:ascii="Times New Roman" w:hAnsi="Times New Roman" w:cs="Times New Roman"/>
          <w:i/>
          <w:color w:val="000000" w:themeColor="text1"/>
          <w:lang w:val="fr-CH"/>
        </w:rPr>
        <w:t xml:space="preserve">survivance </w:t>
      </w:r>
      <w:r w:rsidRPr="004E4E61">
        <w:rPr>
          <w:rFonts w:ascii="Times New Roman" w:hAnsi="Times New Roman" w:cs="Times New Roman"/>
          <w:color w:val="000000" w:themeColor="text1"/>
          <w:lang w:val="fr-CH"/>
        </w:rPr>
        <w:t xml:space="preserve">est un concept central de l’iconologie. Elle désigne, selon Didi-Huberman (qui précise et actualise le système théorique de l’historien d’art Aby Warburg, notamment dans son ouvrage </w:t>
      </w:r>
      <w:r w:rsidRPr="004E4E61">
        <w:rPr>
          <w:rFonts w:ascii="Times New Roman" w:hAnsi="Times New Roman" w:cs="Times New Roman"/>
          <w:i/>
          <w:color w:val="000000" w:themeColor="text1"/>
          <w:lang w:val="fr-CH"/>
        </w:rPr>
        <w:t>L’image survivante</w:t>
      </w:r>
      <w:r w:rsidRPr="004E4E61">
        <w:rPr>
          <w:rFonts w:ascii="Times New Roman" w:hAnsi="Times New Roman" w:cs="Times New Roman"/>
          <w:color w:val="000000" w:themeColor="text1"/>
          <w:lang w:val="fr-CH"/>
        </w:rPr>
        <w:t>), la capacité des images à survivre au temps de leur production matérielle et à refaire apparition, sous la forme de motifs récurrents, de traits structurels ou stylistiques, mais aussi de gestes techniques révolus, de pratiques revisitées, par-delà toute logique linéaire de l’histoire, selon un principe d’</w:t>
      </w:r>
      <w:r w:rsidRPr="004E4E61">
        <w:rPr>
          <w:rFonts w:ascii="Times New Roman" w:hAnsi="Times New Roman" w:cs="Times New Roman"/>
          <w:i/>
          <w:iCs/>
          <w:color w:val="000000" w:themeColor="text1"/>
          <w:lang w:val="fr-CH"/>
        </w:rPr>
        <w:t>anachronie</w:t>
      </w:r>
      <w:r w:rsidRPr="004E4E61">
        <w:rPr>
          <w:rFonts w:ascii="Times New Roman" w:hAnsi="Times New Roman" w:cs="Times New Roman"/>
          <w:iCs/>
          <w:color w:val="000000" w:themeColor="text1"/>
          <w:lang w:val="fr-CH"/>
        </w:rPr>
        <w:t>, en contradiction avec les chronologies établies</w:t>
      </w:r>
      <w:r w:rsidRPr="004E4E61">
        <w:rPr>
          <w:rFonts w:ascii="Times New Roman" w:hAnsi="Times New Roman" w:cs="Times New Roman"/>
          <w:color w:val="000000" w:themeColor="text1"/>
          <w:lang w:val="fr-CH"/>
        </w:rPr>
        <w:t>. Ainsi Warburg retrouvant les « formules de pathos » (</w:t>
      </w:r>
      <w:r w:rsidRPr="004E4E61">
        <w:rPr>
          <w:rFonts w:ascii="Times New Roman" w:hAnsi="Times New Roman" w:cs="Times New Roman"/>
          <w:i/>
          <w:iCs/>
          <w:color w:val="000000" w:themeColor="text1"/>
          <w:lang w:val="fr-CH"/>
        </w:rPr>
        <w:t>Pathosformeln</w:t>
      </w:r>
      <w:r w:rsidRPr="004E4E61">
        <w:rPr>
          <w:rFonts w:ascii="Times New Roman" w:hAnsi="Times New Roman" w:cs="Times New Roman"/>
          <w:color w:val="000000" w:themeColor="text1"/>
          <w:lang w:val="fr-CH"/>
        </w:rPr>
        <w:t>) de l’Antiquité à la Renaissance (</w:t>
      </w:r>
      <w:r w:rsidRPr="004E4E61">
        <w:rPr>
          <w:rFonts w:ascii="Times New Roman" w:hAnsi="Times New Roman" w:cs="Times New Roman"/>
          <w:i/>
          <w:iCs/>
          <w:color w:val="000000" w:themeColor="text1"/>
          <w:lang w:val="fr-CH"/>
        </w:rPr>
        <w:t>Nachleben der Antike</w:t>
      </w:r>
      <w:r w:rsidRPr="004E4E61">
        <w:rPr>
          <w:rFonts w:ascii="Times New Roman" w:hAnsi="Times New Roman" w:cs="Times New Roman"/>
          <w:color w:val="000000" w:themeColor="text1"/>
          <w:lang w:val="fr-CH"/>
        </w:rPr>
        <w:t xml:space="preserve">). Ou bien Didi-Huberman interrogeant l’abandon des techniques de la peinture à l’huile au profit de techniques médiévales révolues dans </w:t>
      </w:r>
      <w:r w:rsidRPr="004E4E61">
        <w:rPr>
          <w:rFonts w:ascii="Times New Roman" w:hAnsi="Times New Roman" w:cs="Times New Roman"/>
          <w:i/>
          <w:iCs/>
          <w:color w:val="000000" w:themeColor="text1"/>
          <w:lang w:val="fr-CH"/>
        </w:rPr>
        <w:t>Le Grand Verre</w:t>
      </w:r>
      <w:r w:rsidRPr="004E4E61">
        <w:rPr>
          <w:rFonts w:ascii="Times New Roman" w:hAnsi="Times New Roman" w:cs="Times New Roman"/>
          <w:color w:val="000000" w:themeColor="text1"/>
          <w:lang w:val="fr-CH"/>
        </w:rPr>
        <w:t xml:space="preserve"> de Duchamp.</w:t>
      </w:r>
    </w:p>
    <w:p w14:paraId="35E479FD" w14:textId="77777777" w:rsidR="009D0A3B" w:rsidRPr="004E4E61" w:rsidRDefault="00C4244E">
      <w:pPr>
        <w:pStyle w:val="NormalWeb"/>
        <w:spacing w:beforeAutospacing="0" w:afterAutospacing="0" w:line="100" w:lineRule="atLeast"/>
        <w:ind w:firstLine="480"/>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 xml:space="preserve">Une œuvre d'art, un courant esthétique, une technique même, peuvent donc </w:t>
      </w:r>
      <w:r w:rsidRPr="004E4E61">
        <w:rPr>
          <w:rFonts w:ascii="Times New Roman" w:hAnsi="Times New Roman" w:cs="Times New Roman"/>
          <w:i/>
          <w:iCs/>
          <w:color w:val="000000" w:themeColor="text1"/>
          <w:lang w:val="fr-CH"/>
        </w:rPr>
        <w:t>resurgir</w:t>
      </w:r>
      <w:r w:rsidRPr="004E4E61">
        <w:rPr>
          <w:rFonts w:ascii="Times New Roman" w:hAnsi="Times New Roman" w:cs="Times New Roman"/>
          <w:color w:val="000000" w:themeColor="text1"/>
          <w:lang w:val="fr-CH"/>
        </w:rPr>
        <w:t xml:space="preserve"> parfois, de manière non pas inexplicable (puisque c'est le travail de l'historien d'art que d’expliquer) mais de manière impromptue, imprévisible, non linéaire, inconsciente aussi. Ainsi une œuvre d'art ou certains de ses éléments peuvent-ils revenir </w:t>
      </w:r>
      <w:r w:rsidRPr="004E4E61">
        <w:rPr>
          <w:rFonts w:ascii="Times New Roman" w:hAnsi="Times New Roman" w:cs="Times New Roman"/>
          <w:color w:val="000000" w:themeColor="text1"/>
          <w:lang w:val="fr-CH"/>
        </w:rPr>
        <w:lastRenderedPageBreak/>
        <w:t xml:space="preserve">après une longue période d'absence et </w:t>
      </w:r>
      <w:r w:rsidRPr="004E4E61">
        <w:rPr>
          <w:rFonts w:ascii="Times New Roman" w:hAnsi="Times New Roman" w:cs="Times New Roman"/>
          <w:i/>
          <w:iCs/>
          <w:color w:val="000000" w:themeColor="text1"/>
          <w:lang w:val="fr-CH"/>
        </w:rPr>
        <w:t>hanter</w:t>
      </w:r>
      <w:r w:rsidRPr="004E4E61">
        <w:rPr>
          <w:rFonts w:ascii="Times New Roman" w:hAnsi="Times New Roman" w:cs="Times New Roman"/>
          <w:color w:val="000000" w:themeColor="text1"/>
          <w:lang w:val="fr-CH"/>
        </w:rPr>
        <w:t xml:space="preserve"> le présent. D'où l'idée d’</w:t>
      </w:r>
      <w:r w:rsidRPr="004E4E61">
        <w:rPr>
          <w:rFonts w:ascii="Times New Roman" w:hAnsi="Times New Roman" w:cs="Times New Roman"/>
          <w:i/>
          <w:iCs/>
          <w:color w:val="000000" w:themeColor="text1"/>
          <w:lang w:val="fr-CH"/>
        </w:rPr>
        <w:t xml:space="preserve">anachronisme </w:t>
      </w:r>
      <w:r w:rsidRPr="004E4E61">
        <w:rPr>
          <w:rFonts w:ascii="Times New Roman" w:hAnsi="Times New Roman" w:cs="Times New Roman"/>
          <w:color w:val="000000" w:themeColor="text1"/>
          <w:lang w:val="fr-CH"/>
        </w:rPr>
        <w:t xml:space="preserve">ou encore de spectres, de fantômes. Il est question alors de </w:t>
      </w:r>
      <w:r w:rsidRPr="004E4E61">
        <w:rPr>
          <w:rFonts w:ascii="Times New Roman" w:hAnsi="Times New Roman" w:cs="Times New Roman"/>
          <w:i/>
          <w:iCs/>
          <w:color w:val="000000" w:themeColor="text1"/>
          <w:lang w:val="fr-CH"/>
        </w:rPr>
        <w:t>symptômes</w:t>
      </w:r>
      <w:r w:rsidRPr="004E4E61">
        <w:rPr>
          <w:rFonts w:ascii="Times New Roman" w:hAnsi="Times New Roman" w:cs="Times New Roman"/>
          <w:color w:val="000000" w:themeColor="text1"/>
          <w:lang w:val="fr-CH"/>
        </w:rPr>
        <w:t>, d’</w:t>
      </w:r>
      <w:r w:rsidRPr="004E4E61">
        <w:rPr>
          <w:rFonts w:ascii="Times New Roman" w:hAnsi="Times New Roman" w:cs="Times New Roman"/>
          <w:i/>
          <w:iCs/>
          <w:color w:val="000000" w:themeColor="text1"/>
          <w:lang w:val="fr-CH"/>
        </w:rPr>
        <w:t>obsessions</w:t>
      </w:r>
      <w:r w:rsidRPr="004E4E61">
        <w:rPr>
          <w:rFonts w:ascii="Times New Roman" w:hAnsi="Times New Roman" w:cs="Times New Roman"/>
          <w:color w:val="000000" w:themeColor="text1"/>
          <w:lang w:val="fr-CH"/>
        </w:rPr>
        <w:t xml:space="preserve">, de </w:t>
      </w:r>
      <w:r w:rsidRPr="004E4E61">
        <w:rPr>
          <w:rFonts w:ascii="Times New Roman" w:hAnsi="Times New Roman" w:cs="Times New Roman"/>
          <w:i/>
          <w:iCs/>
          <w:color w:val="000000" w:themeColor="text1"/>
          <w:lang w:val="fr-CH"/>
        </w:rPr>
        <w:t>mémoire involontaire</w:t>
      </w:r>
      <w:r w:rsidRPr="004E4E61">
        <w:rPr>
          <w:rFonts w:ascii="Times New Roman" w:hAnsi="Times New Roman" w:cs="Times New Roman"/>
          <w:color w:val="000000" w:themeColor="text1"/>
          <w:lang w:val="fr-CH"/>
        </w:rPr>
        <w:t>, etc.</w:t>
      </w:r>
    </w:p>
    <w:p w14:paraId="1928BFF2" w14:textId="77777777" w:rsidR="009D0A3B" w:rsidRPr="004E4E61" w:rsidRDefault="00C4244E">
      <w:pPr>
        <w:pStyle w:val="NormalWeb"/>
        <w:spacing w:beforeAutospacing="0" w:afterAutospacing="0" w:line="100" w:lineRule="atLeast"/>
        <w:ind w:firstLine="480"/>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 xml:space="preserve">Ni traditionaliste, ni évolutionniste, le concept de </w:t>
      </w:r>
      <w:r w:rsidRPr="004E4E61">
        <w:rPr>
          <w:rFonts w:ascii="Times New Roman" w:hAnsi="Times New Roman" w:cs="Times New Roman"/>
          <w:i/>
          <w:iCs/>
          <w:color w:val="000000" w:themeColor="text1"/>
          <w:lang w:val="fr-CH"/>
        </w:rPr>
        <w:t>survivance</w:t>
      </w:r>
      <w:r w:rsidRPr="004E4E61">
        <w:rPr>
          <w:rFonts w:ascii="Times New Roman" w:hAnsi="Times New Roman" w:cs="Times New Roman"/>
          <w:color w:val="000000" w:themeColor="text1"/>
          <w:lang w:val="fr-CH"/>
        </w:rPr>
        <w:t xml:space="preserve"> est d’autant plus étranger à l’idée de progrès qu’il ignore le carcan des traditions en tant que normes transmises. L’historien de l’art, tel un « sismographe des temps » (Didi-Huberman, </w:t>
      </w:r>
      <w:r w:rsidRPr="004E4E61">
        <w:rPr>
          <w:rFonts w:ascii="Times New Roman" w:hAnsi="Times New Roman" w:cs="Times New Roman"/>
          <w:i/>
          <w:iCs/>
          <w:color w:val="000000" w:themeColor="text1"/>
          <w:lang w:val="fr-CH"/>
        </w:rPr>
        <w:t>L’image survivante</w:t>
      </w:r>
      <w:r w:rsidRPr="004E4E61">
        <w:rPr>
          <w:rFonts w:ascii="Times New Roman" w:hAnsi="Times New Roman" w:cs="Times New Roman"/>
          <w:iCs/>
          <w:color w:val="000000" w:themeColor="text1"/>
          <w:lang w:val="fr-CH"/>
        </w:rPr>
        <w:t xml:space="preserve">, </w:t>
      </w:r>
      <w:r w:rsidR="006259B5" w:rsidRPr="004E4E61">
        <w:rPr>
          <w:rFonts w:ascii="Times New Roman" w:hAnsi="Times New Roman" w:cs="Times New Roman"/>
          <w:color w:val="000000" w:themeColor="text1"/>
          <w:lang w:val="fr-CH"/>
        </w:rPr>
        <w:t>2002</w:t>
      </w:r>
      <w:r w:rsidRPr="004E4E61">
        <w:rPr>
          <w:rFonts w:ascii="Times New Roman" w:hAnsi="Times New Roman" w:cs="Times New Roman"/>
          <w:color w:val="000000" w:themeColor="text1"/>
          <w:lang w:val="fr-CH"/>
        </w:rPr>
        <w:t xml:space="preserve">, p.118), sera sensible à tous les mouvements souterrains de l’image, aux symptômes, aux obsessions, aux phénomènes de mémoire involontaire, selon une logique qui « anachronise » le temps. L’étude de la </w:t>
      </w:r>
      <w:r w:rsidRPr="004E4E61">
        <w:rPr>
          <w:rFonts w:ascii="Times New Roman" w:hAnsi="Times New Roman" w:cs="Times New Roman"/>
          <w:i/>
          <w:iCs/>
          <w:color w:val="000000" w:themeColor="text1"/>
          <w:lang w:val="fr-CH"/>
        </w:rPr>
        <w:t>survivance</w:t>
      </w:r>
      <w:r w:rsidRPr="004E4E61">
        <w:rPr>
          <w:rFonts w:ascii="Times New Roman" w:hAnsi="Times New Roman" w:cs="Times New Roman"/>
          <w:color w:val="000000" w:themeColor="text1"/>
          <w:lang w:val="fr-CH"/>
        </w:rPr>
        <w:t xml:space="preserve"> redéfinit ainsi les cadres de l’histoire de l’art – cette « histoire de fantômes pour grandes personnes » (</w:t>
      </w:r>
      <w:r w:rsidRPr="004E4E61">
        <w:rPr>
          <w:rFonts w:ascii="Times New Roman" w:hAnsi="Times New Roman" w:cs="Times New Roman"/>
          <w:i/>
          <w:iCs/>
          <w:color w:val="000000" w:themeColor="text1"/>
          <w:lang w:val="fr-CH"/>
        </w:rPr>
        <w:t>ibidem</w:t>
      </w:r>
      <w:r w:rsidRPr="004E4E61">
        <w:rPr>
          <w:rFonts w:ascii="Times New Roman" w:hAnsi="Times New Roman" w:cs="Times New Roman"/>
          <w:color w:val="000000" w:themeColor="text1"/>
          <w:lang w:val="fr-CH"/>
        </w:rPr>
        <w:t>, p. 88) – moins en tant qu’histoire qu’en tant que philosophie, archéologie ou anthropologie.</w:t>
      </w:r>
    </w:p>
    <w:p w14:paraId="4B586302" w14:textId="77777777" w:rsidR="009D0A3B" w:rsidRPr="004E4E61" w:rsidRDefault="009D0A3B">
      <w:pPr>
        <w:pStyle w:val="NormalWeb"/>
        <w:spacing w:beforeAutospacing="0" w:afterAutospacing="0" w:line="100" w:lineRule="atLeast"/>
        <w:jc w:val="both"/>
        <w:rPr>
          <w:rFonts w:ascii="Times New Roman" w:hAnsi="Times New Roman" w:cs="Times New Roman"/>
          <w:color w:val="000000" w:themeColor="text1"/>
          <w:lang w:val="fr-CH"/>
        </w:rPr>
      </w:pPr>
    </w:p>
    <w:p w14:paraId="18DB1121" w14:textId="77777777" w:rsidR="009D0A3B" w:rsidRPr="004E4E61" w:rsidRDefault="00C4244E">
      <w:pPr>
        <w:pStyle w:val="NormalWeb"/>
        <w:spacing w:beforeAutospacing="0" w:afterAutospacing="0" w:line="100" w:lineRule="atLeast"/>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Le concept de survivance a jusqu’à présent servi essentiellement à l’étude d’images issues de la tradition occidentale. L’une des ambitions de ce colloque est d’examiner des images appartenant à divers systèmes culturels, européens et non européens. Les contributions portant sur des œuvres de pays non européens et notamment de Ta</w:t>
      </w:r>
      <w:r w:rsidR="001A630D" w:rsidRPr="004E4E61">
        <w:rPr>
          <w:rFonts w:ascii="Times New Roman" w:hAnsi="Times New Roman" w:cs="Times New Roman"/>
          <w:color w:val="000000" w:themeColor="text1"/>
          <w:lang w:val="fr-CH"/>
        </w:rPr>
        <w:t>ï</w:t>
      </w:r>
      <w:r w:rsidRPr="004E4E61">
        <w:rPr>
          <w:rFonts w:ascii="Times New Roman" w:hAnsi="Times New Roman" w:cs="Times New Roman"/>
          <w:color w:val="000000" w:themeColor="text1"/>
          <w:lang w:val="fr-CH"/>
        </w:rPr>
        <w:t>wan, les travaux adoptant des approches comparatives, mais aussi les recherches sur des cas de survivance liés à des transferts culturels seront ainsi particulièrement bienvenus.</w:t>
      </w:r>
    </w:p>
    <w:p w14:paraId="272CEAD1" w14:textId="77777777" w:rsidR="009D0A3B" w:rsidRPr="004E4E61" w:rsidRDefault="00C4244E">
      <w:pPr>
        <w:pStyle w:val="NormalWeb"/>
        <w:spacing w:beforeAutospacing="0" w:afterAutospacing="0" w:line="100" w:lineRule="atLeast"/>
        <w:ind w:firstLine="480"/>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Ce colloque, bien qu’accordant une place centrale à la question de la survivance dans le cinéma, se veut transdisciplinaire. Les contributions portant sur d’autres arts visuels (peinture, photographie, bande dessinée, etc.), voire sur des productions iconiques non artistiques (publicité, matériel électoral, images religieuses, etc.), les études comparatives mettant en parallèle plusieurs médias, les recherches éclairant des transferts d’images d’un média à l’autre recevront donc un accueil favorable.</w:t>
      </w:r>
    </w:p>
    <w:p w14:paraId="013926E0" w14:textId="77777777" w:rsidR="009D0A3B" w:rsidRPr="004E4E61" w:rsidRDefault="00C4244E">
      <w:pPr>
        <w:pStyle w:val="NormalWeb"/>
        <w:spacing w:beforeAutospacing="0" w:afterAutospacing="0" w:line="100" w:lineRule="atLeast"/>
        <w:ind w:firstLine="480"/>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Enfin, tenant compte du fait que les modalités de la survivance sont souvent des plus complexes, ce colloque se propose d’explorer les chemins secrets par lesquels des éléments iconiques survivent, parfois à travers des transferts, des transpositions, des transplantations ; parfois aussi peut-être à travers des « transits » : se pourrait-il ainsi que l’image, devenue mentale, survive dans un texte, par exemple ? Que de ce dernier elle retrouve plus tard une forme sensible sur un support visuel ? Les contributions de spécialistes de la littérature mettant en lumière de tels phénomènes trouveront toute leur place dans ce colloque.</w:t>
      </w:r>
    </w:p>
    <w:p w14:paraId="089515C7" w14:textId="77777777" w:rsidR="009D0A3B" w:rsidRPr="004E4E61" w:rsidRDefault="00C4244E">
      <w:pPr>
        <w:pStyle w:val="NormalWeb"/>
        <w:spacing w:beforeAutospacing="0" w:afterAutospacing="0" w:line="100" w:lineRule="atLeast"/>
        <w:ind w:firstLine="480"/>
        <w:jc w:val="both"/>
        <w:rPr>
          <w:rFonts w:ascii="Times New Roman" w:hAnsi="Times New Roman" w:cs="Times New Roman"/>
          <w:color w:val="000000" w:themeColor="text1"/>
          <w:lang w:val="fr-CH"/>
        </w:rPr>
      </w:pPr>
      <w:r w:rsidRPr="004E4E61">
        <w:rPr>
          <w:rFonts w:ascii="Times New Roman" w:hAnsi="Times New Roman" w:cs="Times New Roman"/>
          <w:color w:val="000000" w:themeColor="text1"/>
          <w:lang w:val="fr-CH"/>
        </w:rPr>
        <w:t>Ces quelques indications ont avant tout pour but d’indiquer des pistes de réflexion possibles et ne visent en rien à l’exhaustivité, chacun restant libre d’appliquer la notion de survivance à sa manière dans une démarche susceptible d’alimenter un dialogue que nous espérons riche et fécond.</w:t>
      </w:r>
    </w:p>
    <w:p w14:paraId="5A7121D3" w14:textId="77777777" w:rsidR="008767BE" w:rsidRPr="004E4E61" w:rsidRDefault="008767BE" w:rsidP="00623719">
      <w:pPr>
        <w:pStyle w:val="NormalWeb"/>
        <w:spacing w:beforeAutospacing="0" w:afterAutospacing="0" w:line="100" w:lineRule="atLeast"/>
        <w:jc w:val="both"/>
        <w:rPr>
          <w:rFonts w:ascii="Times New Roman" w:hAnsi="Times New Roman" w:cs="Times New Roman"/>
          <w:color w:val="000000" w:themeColor="text1"/>
          <w:lang w:val="fr-FR"/>
        </w:rPr>
      </w:pPr>
    </w:p>
    <w:p w14:paraId="412B7947" w14:textId="633C5126" w:rsidR="00C92BFC" w:rsidRPr="004E4E61" w:rsidRDefault="00744A2B" w:rsidP="0081771D">
      <w:pPr>
        <w:jc w:val="both"/>
        <w:rPr>
          <w:rFonts w:ascii="Times New Roman" w:hAnsi="Times New Roman" w:cs="Times New Roman"/>
          <w:b/>
          <w:color w:val="000000" w:themeColor="text1"/>
          <w:sz w:val="22"/>
          <w:lang w:val="fr-FR"/>
        </w:rPr>
      </w:pPr>
      <w:r w:rsidRPr="004E4E61">
        <w:rPr>
          <w:rFonts w:ascii="Times New Roman" w:hAnsi="Times New Roman" w:cs="Times New Roman"/>
          <w:b/>
          <w:color w:val="000000" w:themeColor="text1"/>
          <w:sz w:val="22"/>
          <w:lang w:val="fr-FR"/>
        </w:rPr>
        <w:t>Bibliographie indicative :</w:t>
      </w:r>
    </w:p>
    <w:p w14:paraId="3BD85DE1" w14:textId="77777777" w:rsidR="00E42234" w:rsidRPr="004E4E61" w:rsidRDefault="00E42234" w:rsidP="00A44048">
      <w:pPr>
        <w:pStyle w:val="Paragraphedeliste"/>
        <w:numPr>
          <w:ilvl w:val="0"/>
          <w:numId w:val="1"/>
        </w:numPr>
        <w:jc w:val="both"/>
        <w:rPr>
          <w:rFonts w:ascii="Times New Roman" w:hAnsi="Times New Roman" w:cs="Times New Roman"/>
          <w:bCs/>
          <w:color w:val="000000" w:themeColor="text1"/>
          <w:sz w:val="22"/>
        </w:rPr>
      </w:pPr>
      <w:proofErr w:type="spellStart"/>
      <w:r w:rsidRPr="004E4E61">
        <w:rPr>
          <w:rFonts w:ascii="Times New Roman" w:hAnsi="Times New Roman" w:cs="Times New Roman"/>
          <w:bCs/>
          <w:color w:val="000000" w:themeColor="text1"/>
          <w:sz w:val="22"/>
        </w:rPr>
        <w:lastRenderedPageBreak/>
        <w:t>Agamben</w:t>
      </w:r>
      <w:proofErr w:type="spellEnd"/>
      <w:r w:rsidRPr="004E4E61">
        <w:rPr>
          <w:rFonts w:ascii="Times New Roman" w:hAnsi="Times New Roman" w:cs="Times New Roman"/>
          <w:bCs/>
          <w:color w:val="000000" w:themeColor="text1"/>
          <w:sz w:val="22"/>
        </w:rPr>
        <w:t xml:space="preserve"> Giorgio, « </w:t>
      </w:r>
      <w:proofErr w:type="spellStart"/>
      <w:r w:rsidRPr="004E4E61">
        <w:rPr>
          <w:rFonts w:ascii="Times New Roman" w:hAnsi="Times New Roman" w:cs="Times New Roman"/>
          <w:bCs/>
          <w:color w:val="000000" w:themeColor="text1"/>
          <w:sz w:val="22"/>
        </w:rPr>
        <w:t>Aby</w:t>
      </w:r>
      <w:proofErr w:type="spellEnd"/>
      <w:r w:rsidRPr="004E4E61">
        <w:rPr>
          <w:rFonts w:ascii="Times New Roman" w:hAnsi="Times New Roman" w:cs="Times New Roman"/>
          <w:bCs/>
          <w:color w:val="000000" w:themeColor="text1"/>
          <w:sz w:val="22"/>
        </w:rPr>
        <w:t xml:space="preserve"> Warburg et la science sans nom »</w:t>
      </w:r>
      <w:r w:rsidR="00E34D06" w:rsidRPr="004E4E61">
        <w:rPr>
          <w:rFonts w:ascii="Times New Roman" w:hAnsi="Times New Roman" w:cs="Times New Roman"/>
          <w:bCs/>
          <w:color w:val="000000" w:themeColor="text1"/>
          <w:sz w:val="22"/>
        </w:rPr>
        <w:t xml:space="preserve"> (1975)</w:t>
      </w:r>
      <w:r w:rsidRPr="004E4E61">
        <w:rPr>
          <w:rFonts w:ascii="Times New Roman" w:hAnsi="Times New Roman" w:cs="Times New Roman"/>
          <w:bCs/>
          <w:color w:val="000000" w:themeColor="text1"/>
          <w:sz w:val="22"/>
        </w:rPr>
        <w:t>,</w:t>
      </w:r>
      <w:r w:rsidR="00E34D06" w:rsidRPr="004E4E61">
        <w:rPr>
          <w:rFonts w:ascii="Times New Roman" w:hAnsi="Times New Roman" w:cs="Times New Roman"/>
          <w:bCs/>
          <w:color w:val="000000" w:themeColor="text1"/>
          <w:sz w:val="22"/>
        </w:rPr>
        <w:t xml:space="preserve"> trad.</w:t>
      </w:r>
      <w:r w:rsidR="005446FD" w:rsidRPr="004E4E61">
        <w:rPr>
          <w:rFonts w:ascii="Times New Roman" w:hAnsi="Times New Roman" w:cs="Times New Roman"/>
          <w:bCs/>
          <w:color w:val="000000" w:themeColor="text1"/>
          <w:sz w:val="22"/>
        </w:rPr>
        <w:t xml:space="preserve"> J. Gayraud et M. Rueff, </w:t>
      </w:r>
      <w:r w:rsidRPr="004E4E61">
        <w:rPr>
          <w:rFonts w:ascii="Times New Roman" w:hAnsi="Times New Roman" w:cs="Times New Roman"/>
          <w:bCs/>
          <w:color w:val="000000" w:themeColor="text1"/>
          <w:sz w:val="22"/>
        </w:rPr>
        <w:t xml:space="preserve">in </w:t>
      </w:r>
      <w:r w:rsidRPr="004E4E61">
        <w:rPr>
          <w:rFonts w:ascii="Times New Roman" w:hAnsi="Times New Roman" w:cs="Times New Roman"/>
          <w:bCs/>
          <w:i/>
          <w:iCs/>
          <w:color w:val="000000" w:themeColor="text1"/>
          <w:sz w:val="22"/>
        </w:rPr>
        <w:t>La Puissance de la pensée</w:t>
      </w:r>
      <w:r w:rsidRPr="004E4E61">
        <w:rPr>
          <w:rFonts w:ascii="Times New Roman" w:hAnsi="Times New Roman" w:cs="Times New Roman"/>
          <w:bCs/>
          <w:color w:val="000000" w:themeColor="text1"/>
          <w:sz w:val="22"/>
        </w:rPr>
        <w:t>, Paris, Editions Payot &amp; Rivages, 2011.</w:t>
      </w:r>
    </w:p>
    <w:p w14:paraId="76964658" w14:textId="77777777" w:rsidR="009A04A1" w:rsidRPr="004E4E61" w:rsidRDefault="0084247A" w:rsidP="00A44048">
      <w:pPr>
        <w:pStyle w:val="Paragraphedeliste"/>
        <w:numPr>
          <w:ilvl w:val="0"/>
          <w:numId w:val="1"/>
        </w:numPr>
        <w:jc w:val="both"/>
        <w:rPr>
          <w:rFonts w:ascii="Times New Roman" w:hAnsi="Times New Roman" w:cs="Times New Roman"/>
          <w:bCs/>
          <w:color w:val="000000" w:themeColor="text1"/>
          <w:sz w:val="22"/>
        </w:rPr>
      </w:pPr>
      <w:r w:rsidRPr="004E4E61">
        <w:rPr>
          <w:rFonts w:ascii="Times New Roman" w:hAnsi="Times New Roman" w:cs="Times New Roman"/>
          <w:bCs/>
          <w:color w:val="000000" w:themeColor="text1"/>
          <w:sz w:val="22"/>
        </w:rPr>
        <w:t>Didi-Huberma</w:t>
      </w:r>
      <w:r w:rsidR="008870A4" w:rsidRPr="004E4E61">
        <w:rPr>
          <w:rFonts w:ascii="Times New Roman" w:hAnsi="Times New Roman" w:cs="Times New Roman"/>
          <w:bCs/>
          <w:color w:val="000000" w:themeColor="text1"/>
          <w:sz w:val="22"/>
        </w:rPr>
        <w:t>n Georges</w:t>
      </w:r>
      <w:r w:rsidRPr="004E4E61">
        <w:rPr>
          <w:rFonts w:ascii="Times New Roman" w:hAnsi="Times New Roman" w:cs="Times New Roman"/>
          <w:bCs/>
          <w:color w:val="000000" w:themeColor="text1"/>
          <w:sz w:val="22"/>
        </w:rPr>
        <w:t xml:space="preserve">, </w:t>
      </w:r>
      <w:r w:rsidR="003A45A8" w:rsidRPr="004E4E61">
        <w:rPr>
          <w:rFonts w:ascii="Times New Roman" w:hAnsi="Times New Roman" w:cs="Times New Roman"/>
          <w:bCs/>
          <w:i/>
          <w:iCs/>
          <w:color w:val="000000" w:themeColor="text1"/>
          <w:sz w:val="22"/>
        </w:rPr>
        <w:t>L'image survivante</w:t>
      </w:r>
      <w:r w:rsidR="00A706E3" w:rsidRPr="004E4E61">
        <w:rPr>
          <w:rFonts w:ascii="Times New Roman" w:hAnsi="Times New Roman" w:cs="Times New Roman"/>
          <w:bCs/>
          <w:i/>
          <w:iCs/>
          <w:color w:val="000000" w:themeColor="text1"/>
          <w:sz w:val="22"/>
        </w:rPr>
        <w:t>. H</w:t>
      </w:r>
      <w:r w:rsidR="003A45A8" w:rsidRPr="004E4E61">
        <w:rPr>
          <w:rFonts w:ascii="Times New Roman" w:hAnsi="Times New Roman" w:cs="Times New Roman"/>
          <w:bCs/>
          <w:i/>
          <w:iCs/>
          <w:color w:val="000000" w:themeColor="text1"/>
          <w:sz w:val="22"/>
        </w:rPr>
        <w:t>istoire de l'art et temps des fantômes selon Aby Warburg</w:t>
      </w:r>
      <w:r w:rsidR="003A45A8" w:rsidRPr="004E4E61">
        <w:rPr>
          <w:rFonts w:ascii="Times New Roman" w:hAnsi="Times New Roman" w:cs="Times New Roman"/>
          <w:bCs/>
          <w:color w:val="000000" w:themeColor="text1"/>
          <w:sz w:val="22"/>
        </w:rPr>
        <w:t xml:space="preserve">, </w:t>
      </w:r>
      <w:r w:rsidR="006741EF" w:rsidRPr="004E4E61">
        <w:rPr>
          <w:rFonts w:ascii="Times New Roman" w:hAnsi="Times New Roman" w:cs="Times New Roman"/>
          <w:bCs/>
          <w:color w:val="000000" w:themeColor="text1"/>
          <w:sz w:val="22"/>
        </w:rPr>
        <w:t>Paris</w:t>
      </w:r>
      <w:r w:rsidR="007A3C32" w:rsidRPr="004E4E61">
        <w:rPr>
          <w:rFonts w:ascii="Times New Roman" w:hAnsi="Times New Roman" w:cs="Times New Roman"/>
          <w:bCs/>
          <w:color w:val="000000" w:themeColor="text1"/>
          <w:sz w:val="22"/>
        </w:rPr>
        <w:t>, Editions de</w:t>
      </w:r>
      <w:r w:rsidR="006741EF" w:rsidRPr="004E4E61">
        <w:rPr>
          <w:rFonts w:ascii="Times New Roman" w:hAnsi="Times New Roman" w:cs="Times New Roman"/>
          <w:bCs/>
          <w:color w:val="000000" w:themeColor="text1"/>
          <w:sz w:val="22"/>
        </w:rPr>
        <w:t xml:space="preserve"> </w:t>
      </w:r>
      <w:r w:rsidR="003A45A8" w:rsidRPr="004E4E61">
        <w:rPr>
          <w:rFonts w:ascii="Times New Roman" w:hAnsi="Times New Roman" w:cs="Times New Roman"/>
          <w:bCs/>
          <w:color w:val="000000" w:themeColor="text1"/>
          <w:sz w:val="22"/>
        </w:rPr>
        <w:t>Minuit</w:t>
      </w:r>
      <w:r w:rsidR="006741EF" w:rsidRPr="004E4E61">
        <w:rPr>
          <w:rFonts w:ascii="Times New Roman" w:hAnsi="Times New Roman" w:cs="Times New Roman"/>
          <w:bCs/>
          <w:color w:val="000000" w:themeColor="text1"/>
          <w:sz w:val="22"/>
        </w:rPr>
        <w:t>, 2002</w:t>
      </w:r>
      <w:r w:rsidR="009A04A1" w:rsidRPr="004E4E61">
        <w:rPr>
          <w:rFonts w:ascii="Times New Roman" w:hAnsi="Times New Roman" w:cs="Times New Roman"/>
          <w:bCs/>
          <w:color w:val="000000" w:themeColor="text1"/>
          <w:sz w:val="22"/>
        </w:rPr>
        <w:t>.</w:t>
      </w:r>
    </w:p>
    <w:p w14:paraId="7E15945A" w14:textId="77777777" w:rsidR="00E42234" w:rsidRPr="004E4E61" w:rsidRDefault="00E42234" w:rsidP="00A44048">
      <w:pPr>
        <w:pStyle w:val="Paragraphedeliste"/>
        <w:numPr>
          <w:ilvl w:val="0"/>
          <w:numId w:val="1"/>
        </w:numPr>
        <w:jc w:val="both"/>
        <w:rPr>
          <w:rFonts w:ascii="Times New Roman" w:hAnsi="Times New Roman" w:cs="Times New Roman"/>
          <w:bCs/>
          <w:color w:val="000000" w:themeColor="text1"/>
          <w:sz w:val="22"/>
        </w:rPr>
      </w:pPr>
      <w:r w:rsidRPr="004E4E61">
        <w:rPr>
          <w:rFonts w:ascii="Times New Roman" w:hAnsi="Times New Roman" w:cs="Times New Roman"/>
          <w:bCs/>
          <w:color w:val="000000" w:themeColor="text1"/>
          <w:sz w:val="22"/>
        </w:rPr>
        <w:t xml:space="preserve">Ginzburg Carlo, « De A. Warburg à E. Gombrich » (1966), trad. C. Paolini, in </w:t>
      </w:r>
      <w:r w:rsidRPr="004E4E61">
        <w:rPr>
          <w:rFonts w:ascii="Times New Roman" w:hAnsi="Times New Roman" w:cs="Times New Roman"/>
          <w:bCs/>
          <w:i/>
          <w:iCs/>
          <w:color w:val="000000" w:themeColor="text1"/>
          <w:sz w:val="22"/>
        </w:rPr>
        <w:t xml:space="preserve">Mythes Emblèmes Traces </w:t>
      </w:r>
      <w:r w:rsidRPr="004E4E61">
        <w:rPr>
          <w:rFonts w:ascii="Times New Roman" w:hAnsi="Times New Roman" w:cs="Times New Roman"/>
          <w:bCs/>
          <w:color w:val="000000" w:themeColor="text1"/>
          <w:sz w:val="22"/>
        </w:rPr>
        <w:t>(1986), Lagrasse, Editions Verdier, 2010.</w:t>
      </w:r>
    </w:p>
    <w:p w14:paraId="1CE9409A" w14:textId="77777777" w:rsidR="008870A4" w:rsidRPr="004E4E61" w:rsidRDefault="008870A4" w:rsidP="00A44048">
      <w:pPr>
        <w:pStyle w:val="Paragraphedeliste"/>
        <w:numPr>
          <w:ilvl w:val="0"/>
          <w:numId w:val="1"/>
        </w:numPr>
        <w:jc w:val="both"/>
        <w:rPr>
          <w:rFonts w:ascii="Times New Roman" w:hAnsi="Times New Roman" w:cs="Times New Roman"/>
          <w:bCs/>
          <w:color w:val="000000" w:themeColor="text1"/>
          <w:sz w:val="22"/>
        </w:rPr>
      </w:pPr>
      <w:r w:rsidRPr="004E4E61">
        <w:rPr>
          <w:rFonts w:ascii="Times New Roman" w:hAnsi="Times New Roman" w:cs="Times New Roman"/>
          <w:bCs/>
          <w:color w:val="000000" w:themeColor="text1"/>
          <w:sz w:val="22"/>
        </w:rPr>
        <w:t xml:space="preserve">Gombrich Ernest, </w:t>
      </w:r>
      <w:r w:rsidRPr="004E4E61">
        <w:rPr>
          <w:rFonts w:ascii="Times New Roman" w:hAnsi="Times New Roman" w:cs="Times New Roman"/>
          <w:bCs/>
          <w:i/>
          <w:iCs/>
          <w:color w:val="000000" w:themeColor="text1"/>
          <w:sz w:val="22"/>
        </w:rPr>
        <w:t>Aby Warburg, une biographie intellectuelle</w:t>
      </w:r>
      <w:r w:rsidRPr="004E4E61">
        <w:rPr>
          <w:rFonts w:ascii="Times New Roman" w:hAnsi="Times New Roman" w:cs="Times New Roman"/>
          <w:bCs/>
          <w:color w:val="000000" w:themeColor="text1"/>
          <w:sz w:val="22"/>
        </w:rPr>
        <w:t xml:space="preserve">, trad. Lucien d’Azay, Paris, </w:t>
      </w:r>
      <w:bookmarkStart w:id="3" w:name="_Hlk47428656"/>
      <w:r w:rsidRPr="004E4E61">
        <w:rPr>
          <w:rFonts w:ascii="Times New Roman" w:hAnsi="Times New Roman" w:cs="Times New Roman"/>
          <w:bCs/>
          <w:color w:val="000000" w:themeColor="text1"/>
          <w:sz w:val="22"/>
        </w:rPr>
        <w:t xml:space="preserve">Editions Klincksieck, </w:t>
      </w:r>
      <w:bookmarkEnd w:id="3"/>
      <w:r w:rsidRPr="004E4E61">
        <w:rPr>
          <w:rFonts w:ascii="Times New Roman" w:hAnsi="Times New Roman" w:cs="Times New Roman"/>
          <w:bCs/>
          <w:color w:val="000000" w:themeColor="text1"/>
          <w:sz w:val="22"/>
        </w:rPr>
        <w:t>2015.</w:t>
      </w:r>
    </w:p>
    <w:p w14:paraId="3B6009D2" w14:textId="77777777" w:rsidR="00C45338" w:rsidRPr="004E4E61" w:rsidRDefault="00C45338" w:rsidP="00A44048">
      <w:pPr>
        <w:pStyle w:val="Paragraphedeliste"/>
        <w:numPr>
          <w:ilvl w:val="0"/>
          <w:numId w:val="1"/>
        </w:numPr>
        <w:jc w:val="both"/>
        <w:rPr>
          <w:rFonts w:ascii="Times New Roman" w:hAnsi="Times New Roman" w:cs="Times New Roman"/>
          <w:bCs/>
          <w:color w:val="000000" w:themeColor="text1"/>
          <w:sz w:val="22"/>
        </w:rPr>
      </w:pPr>
      <w:r w:rsidRPr="004E4E61">
        <w:rPr>
          <w:rFonts w:ascii="Times New Roman" w:hAnsi="Times New Roman" w:cs="Times New Roman"/>
          <w:bCs/>
          <w:color w:val="000000" w:themeColor="text1"/>
          <w:sz w:val="22"/>
        </w:rPr>
        <w:t xml:space="preserve">Forero-Mendoza Sabine et Prévost Bertrand (dir.), </w:t>
      </w:r>
      <w:r w:rsidRPr="004E4E61">
        <w:rPr>
          <w:rFonts w:ascii="Times New Roman" w:hAnsi="Times New Roman" w:cs="Times New Roman"/>
          <w:bCs/>
          <w:i/>
          <w:iCs/>
          <w:color w:val="000000" w:themeColor="text1"/>
          <w:sz w:val="22"/>
        </w:rPr>
        <w:t>Survivances d’Aby Warburg</w:t>
      </w:r>
      <w:r w:rsidRPr="004E4E61">
        <w:rPr>
          <w:rFonts w:ascii="Times New Roman" w:hAnsi="Times New Roman" w:cs="Times New Roman"/>
          <w:bCs/>
          <w:color w:val="000000" w:themeColor="text1"/>
          <w:sz w:val="22"/>
        </w:rPr>
        <w:t xml:space="preserve">, Images </w:t>
      </w:r>
      <w:r w:rsidRPr="004E4E61">
        <w:rPr>
          <w:rFonts w:ascii="Times New Roman" w:hAnsi="Times New Roman" w:cs="Times New Roman"/>
          <w:bCs/>
          <w:i/>
          <w:iCs/>
          <w:color w:val="000000" w:themeColor="text1"/>
          <w:sz w:val="22"/>
        </w:rPr>
        <w:t>Re</w:t>
      </w:r>
      <w:r w:rsidRPr="004E4E61">
        <w:rPr>
          <w:rFonts w:ascii="Times New Roman" w:hAnsi="Times New Roman" w:cs="Times New Roman"/>
          <w:bCs/>
          <w:color w:val="000000" w:themeColor="text1"/>
          <w:sz w:val="22"/>
        </w:rPr>
        <w:t>-Vues, Hors-série 4 | 2013.</w:t>
      </w:r>
    </w:p>
    <w:p w14:paraId="6E6587C4" w14:textId="77777777" w:rsidR="008870A4" w:rsidRPr="004E4E61" w:rsidRDefault="008870A4" w:rsidP="00A44048">
      <w:pPr>
        <w:pStyle w:val="Paragraphedeliste"/>
        <w:numPr>
          <w:ilvl w:val="0"/>
          <w:numId w:val="1"/>
        </w:numPr>
        <w:jc w:val="both"/>
        <w:rPr>
          <w:rFonts w:ascii="Times New Roman" w:hAnsi="Times New Roman" w:cs="Times New Roman"/>
          <w:bCs/>
          <w:color w:val="000000" w:themeColor="text1"/>
          <w:sz w:val="22"/>
          <w:lang w:val="en-US"/>
        </w:rPr>
      </w:pPr>
      <w:r w:rsidRPr="004E4E61">
        <w:rPr>
          <w:rFonts w:ascii="Times New Roman" w:hAnsi="Times New Roman" w:cs="Times New Roman"/>
          <w:bCs/>
          <w:color w:val="000000" w:themeColor="text1"/>
          <w:sz w:val="22"/>
          <w:lang w:val="en-US"/>
        </w:rPr>
        <w:t xml:space="preserve">Meier Hans, </w:t>
      </w:r>
      <w:proofErr w:type="spellStart"/>
      <w:r w:rsidRPr="004E4E61">
        <w:rPr>
          <w:rFonts w:ascii="Times New Roman" w:hAnsi="Times New Roman" w:cs="Times New Roman"/>
          <w:bCs/>
          <w:color w:val="000000" w:themeColor="text1"/>
          <w:sz w:val="22"/>
          <w:lang w:val="en-US"/>
        </w:rPr>
        <w:t>Newald</w:t>
      </w:r>
      <w:proofErr w:type="spellEnd"/>
      <w:r w:rsidRPr="004E4E61">
        <w:rPr>
          <w:rFonts w:ascii="Times New Roman" w:hAnsi="Times New Roman" w:cs="Times New Roman"/>
          <w:bCs/>
          <w:color w:val="000000" w:themeColor="text1"/>
          <w:sz w:val="22"/>
          <w:lang w:val="en-US"/>
        </w:rPr>
        <w:t xml:space="preserve"> Richard, Wind Edgar (dir.), </w:t>
      </w:r>
      <w:r w:rsidR="007A3C32" w:rsidRPr="004E4E61">
        <w:rPr>
          <w:rFonts w:ascii="Times New Roman" w:hAnsi="Times New Roman" w:cs="Times New Roman"/>
          <w:bCs/>
          <w:i/>
          <w:iCs/>
          <w:color w:val="000000" w:themeColor="text1"/>
          <w:sz w:val="22"/>
          <w:lang w:val="en-US"/>
        </w:rPr>
        <w:t xml:space="preserve">A Bibliography of the Survival of the Classics </w:t>
      </w:r>
      <w:r w:rsidR="007A3C32" w:rsidRPr="004E4E61">
        <w:rPr>
          <w:rFonts w:ascii="Times New Roman" w:hAnsi="Times New Roman" w:cs="Times New Roman"/>
          <w:bCs/>
          <w:color w:val="000000" w:themeColor="text1"/>
          <w:sz w:val="22"/>
          <w:lang w:val="en-US"/>
        </w:rPr>
        <w:t>(</w:t>
      </w:r>
      <w:proofErr w:type="spellStart"/>
      <w:r w:rsidRPr="004E4E61">
        <w:rPr>
          <w:rFonts w:ascii="Times New Roman" w:hAnsi="Times New Roman" w:cs="Times New Roman"/>
          <w:bCs/>
          <w:i/>
          <w:iCs/>
          <w:color w:val="000000" w:themeColor="text1"/>
          <w:sz w:val="22"/>
          <w:lang w:val="en-US"/>
        </w:rPr>
        <w:t>Kulturwissenschaftliche</w:t>
      </w:r>
      <w:proofErr w:type="spellEnd"/>
      <w:r w:rsidRPr="004E4E61">
        <w:rPr>
          <w:rFonts w:ascii="Times New Roman" w:hAnsi="Times New Roman" w:cs="Times New Roman"/>
          <w:bCs/>
          <w:i/>
          <w:iCs/>
          <w:color w:val="000000" w:themeColor="text1"/>
          <w:sz w:val="22"/>
          <w:lang w:val="en-US"/>
        </w:rPr>
        <w:t xml:space="preserve"> </w:t>
      </w:r>
      <w:proofErr w:type="spellStart"/>
      <w:r w:rsidRPr="004E4E61">
        <w:rPr>
          <w:rFonts w:ascii="Times New Roman" w:hAnsi="Times New Roman" w:cs="Times New Roman"/>
          <w:bCs/>
          <w:i/>
          <w:iCs/>
          <w:color w:val="000000" w:themeColor="text1"/>
          <w:sz w:val="22"/>
          <w:lang w:val="en-US"/>
        </w:rPr>
        <w:t>Bibliographie</w:t>
      </w:r>
      <w:proofErr w:type="spellEnd"/>
      <w:r w:rsidRPr="004E4E61">
        <w:rPr>
          <w:rFonts w:ascii="Times New Roman" w:hAnsi="Times New Roman" w:cs="Times New Roman"/>
          <w:bCs/>
          <w:i/>
          <w:iCs/>
          <w:color w:val="000000" w:themeColor="text1"/>
          <w:sz w:val="22"/>
          <w:lang w:val="en-US"/>
        </w:rPr>
        <w:t xml:space="preserve"> </w:t>
      </w:r>
      <w:proofErr w:type="spellStart"/>
      <w:r w:rsidRPr="004E4E61">
        <w:rPr>
          <w:rFonts w:ascii="Times New Roman" w:hAnsi="Times New Roman" w:cs="Times New Roman"/>
          <w:bCs/>
          <w:i/>
          <w:iCs/>
          <w:color w:val="000000" w:themeColor="text1"/>
          <w:sz w:val="22"/>
          <w:lang w:val="en-US"/>
        </w:rPr>
        <w:t>zum</w:t>
      </w:r>
      <w:proofErr w:type="spellEnd"/>
      <w:r w:rsidRPr="004E4E61">
        <w:rPr>
          <w:rFonts w:ascii="Times New Roman" w:hAnsi="Times New Roman" w:cs="Times New Roman"/>
          <w:bCs/>
          <w:i/>
          <w:iCs/>
          <w:color w:val="000000" w:themeColor="text1"/>
          <w:sz w:val="22"/>
          <w:lang w:val="en-US"/>
        </w:rPr>
        <w:t xml:space="preserve"> Nachleben der </w:t>
      </w:r>
      <w:proofErr w:type="spellStart"/>
      <w:r w:rsidRPr="004E4E61">
        <w:rPr>
          <w:rFonts w:ascii="Times New Roman" w:hAnsi="Times New Roman" w:cs="Times New Roman"/>
          <w:bCs/>
          <w:i/>
          <w:iCs/>
          <w:color w:val="000000" w:themeColor="text1"/>
          <w:sz w:val="22"/>
          <w:lang w:val="en-US"/>
        </w:rPr>
        <w:t>Antike</w:t>
      </w:r>
      <w:proofErr w:type="spellEnd"/>
      <w:r w:rsidRPr="004E4E61">
        <w:rPr>
          <w:rFonts w:ascii="Times New Roman" w:hAnsi="Times New Roman" w:cs="Times New Roman"/>
          <w:bCs/>
          <w:color w:val="000000" w:themeColor="text1"/>
          <w:sz w:val="22"/>
          <w:lang w:val="en-US"/>
        </w:rPr>
        <w:t xml:space="preserve">, </w:t>
      </w:r>
      <w:proofErr w:type="spellStart"/>
      <w:r w:rsidRPr="004E4E61">
        <w:rPr>
          <w:rFonts w:ascii="Times New Roman" w:hAnsi="Times New Roman" w:cs="Times New Roman"/>
          <w:bCs/>
          <w:i/>
          <w:iCs/>
          <w:color w:val="000000" w:themeColor="text1"/>
          <w:sz w:val="22"/>
          <w:lang w:val="en-US"/>
        </w:rPr>
        <w:t>Erster</w:t>
      </w:r>
      <w:proofErr w:type="spellEnd"/>
      <w:r w:rsidRPr="004E4E61">
        <w:rPr>
          <w:rFonts w:ascii="Times New Roman" w:hAnsi="Times New Roman" w:cs="Times New Roman"/>
          <w:bCs/>
          <w:i/>
          <w:iCs/>
          <w:color w:val="000000" w:themeColor="text1"/>
          <w:sz w:val="22"/>
          <w:lang w:val="en-US"/>
        </w:rPr>
        <w:t xml:space="preserve"> Band Die </w:t>
      </w:r>
      <w:proofErr w:type="spellStart"/>
      <w:r w:rsidRPr="004E4E61">
        <w:rPr>
          <w:rFonts w:ascii="Times New Roman" w:hAnsi="Times New Roman" w:cs="Times New Roman"/>
          <w:bCs/>
          <w:i/>
          <w:iCs/>
          <w:color w:val="000000" w:themeColor="text1"/>
          <w:sz w:val="22"/>
          <w:lang w:val="en-US"/>
        </w:rPr>
        <w:t>Erscheinungen</w:t>
      </w:r>
      <w:proofErr w:type="spellEnd"/>
      <w:r w:rsidRPr="004E4E61">
        <w:rPr>
          <w:rFonts w:ascii="Times New Roman" w:hAnsi="Times New Roman" w:cs="Times New Roman"/>
          <w:bCs/>
          <w:i/>
          <w:iCs/>
          <w:color w:val="000000" w:themeColor="text1"/>
          <w:sz w:val="22"/>
          <w:lang w:val="en-US"/>
        </w:rPr>
        <w:t xml:space="preserve"> des </w:t>
      </w:r>
      <w:proofErr w:type="spellStart"/>
      <w:r w:rsidRPr="004E4E61">
        <w:rPr>
          <w:rFonts w:ascii="Times New Roman" w:hAnsi="Times New Roman" w:cs="Times New Roman"/>
          <w:bCs/>
          <w:i/>
          <w:iCs/>
          <w:color w:val="000000" w:themeColor="text1"/>
          <w:sz w:val="22"/>
          <w:lang w:val="en-US"/>
        </w:rPr>
        <w:t>Jahres</w:t>
      </w:r>
      <w:proofErr w:type="spellEnd"/>
      <w:r w:rsidRPr="004E4E61">
        <w:rPr>
          <w:rFonts w:ascii="Times New Roman" w:hAnsi="Times New Roman" w:cs="Times New Roman"/>
          <w:bCs/>
          <w:i/>
          <w:iCs/>
          <w:color w:val="000000" w:themeColor="text1"/>
          <w:sz w:val="22"/>
          <w:lang w:val="en-US"/>
        </w:rPr>
        <w:t xml:space="preserve"> 1931</w:t>
      </w:r>
      <w:r w:rsidR="0081771D" w:rsidRPr="004E4E61">
        <w:rPr>
          <w:rFonts w:ascii="Times New Roman" w:hAnsi="Times New Roman" w:cs="Times New Roman"/>
          <w:bCs/>
          <w:color w:val="000000" w:themeColor="text1"/>
          <w:sz w:val="22"/>
          <w:lang w:val="en-US"/>
        </w:rPr>
        <w:t xml:space="preserve">), </w:t>
      </w:r>
      <w:r w:rsidR="007A3C32" w:rsidRPr="004E4E61">
        <w:rPr>
          <w:rFonts w:ascii="Times New Roman" w:hAnsi="Times New Roman" w:cs="Times New Roman"/>
          <w:bCs/>
          <w:color w:val="000000" w:themeColor="text1"/>
          <w:sz w:val="22"/>
          <w:lang w:val="en-US"/>
        </w:rPr>
        <w:t>London</w:t>
      </w:r>
      <w:r w:rsidR="0081771D" w:rsidRPr="004E4E61">
        <w:rPr>
          <w:rFonts w:ascii="Times New Roman" w:hAnsi="Times New Roman" w:cs="Times New Roman"/>
          <w:bCs/>
          <w:color w:val="000000" w:themeColor="text1"/>
          <w:sz w:val="22"/>
          <w:lang w:val="en-US"/>
        </w:rPr>
        <w:t xml:space="preserve">, </w:t>
      </w:r>
      <w:r w:rsidR="007A3C32" w:rsidRPr="004E4E61">
        <w:rPr>
          <w:rFonts w:ascii="Times New Roman" w:hAnsi="Times New Roman" w:cs="Times New Roman"/>
          <w:bCs/>
          <w:color w:val="000000" w:themeColor="text1"/>
          <w:sz w:val="22"/>
          <w:lang w:val="en-US"/>
        </w:rPr>
        <w:t>Cassell</w:t>
      </w:r>
      <w:r w:rsidR="0081771D" w:rsidRPr="004E4E61">
        <w:rPr>
          <w:rFonts w:ascii="Times New Roman" w:hAnsi="Times New Roman" w:cs="Times New Roman"/>
          <w:bCs/>
          <w:color w:val="000000" w:themeColor="text1"/>
          <w:sz w:val="22"/>
          <w:lang w:val="en-US"/>
        </w:rPr>
        <w:t xml:space="preserve">, </w:t>
      </w:r>
      <w:r w:rsidR="007A3C32" w:rsidRPr="004E4E61">
        <w:rPr>
          <w:rFonts w:ascii="Times New Roman" w:hAnsi="Times New Roman" w:cs="Times New Roman"/>
          <w:bCs/>
          <w:color w:val="000000" w:themeColor="text1"/>
          <w:sz w:val="22"/>
          <w:lang w:val="en-US"/>
        </w:rPr>
        <w:t>Warburg Institute, 1934-1938.</w:t>
      </w:r>
    </w:p>
    <w:p w14:paraId="4816592C" w14:textId="77777777" w:rsidR="005E42A1" w:rsidRPr="004E4E61" w:rsidRDefault="005E42A1" w:rsidP="00A44048">
      <w:pPr>
        <w:pStyle w:val="Paragraphedeliste"/>
        <w:numPr>
          <w:ilvl w:val="0"/>
          <w:numId w:val="1"/>
        </w:numPr>
        <w:jc w:val="both"/>
        <w:rPr>
          <w:rFonts w:ascii="Times New Roman" w:hAnsi="Times New Roman" w:cs="Times New Roman"/>
          <w:color w:val="000000" w:themeColor="text1"/>
          <w:sz w:val="22"/>
        </w:rPr>
      </w:pPr>
      <w:proofErr w:type="spellStart"/>
      <w:r w:rsidRPr="004E4E61">
        <w:rPr>
          <w:rFonts w:ascii="Times New Roman" w:hAnsi="Times New Roman" w:cs="Times New Roman"/>
          <w:bCs/>
          <w:color w:val="000000" w:themeColor="text1"/>
          <w:sz w:val="22"/>
        </w:rPr>
        <w:t>Sierek</w:t>
      </w:r>
      <w:proofErr w:type="spellEnd"/>
      <w:r w:rsidRPr="004E4E61">
        <w:rPr>
          <w:rFonts w:ascii="Times New Roman" w:hAnsi="Times New Roman" w:cs="Times New Roman"/>
          <w:bCs/>
          <w:color w:val="000000" w:themeColor="text1"/>
          <w:sz w:val="22"/>
        </w:rPr>
        <w:t xml:space="preserve"> Karl, </w:t>
      </w:r>
      <w:r w:rsidRPr="004E4E61">
        <w:rPr>
          <w:rFonts w:ascii="Times New Roman" w:hAnsi="Times New Roman" w:cs="Times New Roman"/>
          <w:i/>
          <w:iCs/>
          <w:color w:val="000000" w:themeColor="text1"/>
          <w:sz w:val="22"/>
        </w:rPr>
        <w:t xml:space="preserve">Images oiseaux. </w:t>
      </w:r>
      <w:r w:rsidRPr="004E4E61">
        <w:rPr>
          <w:rFonts w:ascii="Times New Roman" w:hAnsi="Times New Roman" w:cs="Times New Roman"/>
          <w:bCs/>
          <w:i/>
          <w:iCs/>
          <w:color w:val="000000" w:themeColor="text1"/>
          <w:sz w:val="22"/>
        </w:rPr>
        <w:t>Aby Warburg et la théorie des médias</w:t>
      </w:r>
      <w:r w:rsidRPr="004E4E61">
        <w:rPr>
          <w:rFonts w:ascii="Times New Roman" w:hAnsi="Times New Roman" w:cs="Times New Roman"/>
          <w:color w:val="000000" w:themeColor="text1"/>
          <w:sz w:val="22"/>
        </w:rPr>
        <w:t xml:space="preserve">, Paris, </w:t>
      </w:r>
      <w:r w:rsidRPr="004E4E61">
        <w:rPr>
          <w:rFonts w:ascii="Times New Roman" w:hAnsi="Times New Roman" w:cs="Times New Roman"/>
          <w:bCs/>
          <w:color w:val="000000" w:themeColor="text1"/>
          <w:sz w:val="22"/>
        </w:rPr>
        <w:t>Editions Klincksieck, 2009.</w:t>
      </w:r>
    </w:p>
    <w:p w14:paraId="1C67C747" w14:textId="77777777" w:rsidR="00C45338" w:rsidRPr="004E4E61" w:rsidRDefault="00C45338" w:rsidP="00A44048">
      <w:pPr>
        <w:pStyle w:val="Paragraphedeliste"/>
        <w:numPr>
          <w:ilvl w:val="0"/>
          <w:numId w:val="1"/>
        </w:numPr>
        <w:jc w:val="both"/>
        <w:rPr>
          <w:rFonts w:ascii="Times New Roman" w:hAnsi="Times New Roman" w:cs="Times New Roman"/>
          <w:bCs/>
          <w:color w:val="000000" w:themeColor="text1"/>
          <w:sz w:val="22"/>
          <w:lang w:val="en-US"/>
        </w:rPr>
      </w:pPr>
      <w:r w:rsidRPr="004E4E61">
        <w:rPr>
          <w:rFonts w:ascii="Times New Roman" w:hAnsi="Times New Roman" w:cs="Times New Roman"/>
          <w:bCs/>
          <w:color w:val="000000" w:themeColor="text1"/>
          <w:sz w:val="22"/>
          <w:lang w:val="en-US"/>
        </w:rPr>
        <w:t xml:space="preserve">Tylor Edward Burnett, </w:t>
      </w:r>
      <w:r w:rsidRPr="004E4E61">
        <w:rPr>
          <w:rFonts w:ascii="Times New Roman" w:hAnsi="Times New Roman" w:cs="Times New Roman"/>
          <w:bCs/>
          <w:i/>
          <w:iCs/>
          <w:color w:val="000000" w:themeColor="text1"/>
          <w:sz w:val="22"/>
          <w:lang w:val="en-US"/>
        </w:rPr>
        <w:t xml:space="preserve">Primitive </w:t>
      </w:r>
      <w:proofErr w:type="gramStart"/>
      <w:r w:rsidRPr="004E4E61">
        <w:rPr>
          <w:rFonts w:ascii="Times New Roman" w:hAnsi="Times New Roman" w:cs="Times New Roman"/>
          <w:bCs/>
          <w:i/>
          <w:iCs/>
          <w:color w:val="000000" w:themeColor="text1"/>
          <w:sz w:val="22"/>
          <w:lang w:val="en-US"/>
        </w:rPr>
        <w:t>Culture :</w:t>
      </w:r>
      <w:proofErr w:type="gramEnd"/>
      <w:r w:rsidRPr="004E4E61">
        <w:rPr>
          <w:rFonts w:ascii="Times New Roman" w:hAnsi="Times New Roman" w:cs="Times New Roman"/>
          <w:bCs/>
          <w:i/>
          <w:iCs/>
          <w:color w:val="000000" w:themeColor="text1"/>
          <w:sz w:val="22"/>
          <w:lang w:val="en-US"/>
        </w:rPr>
        <w:t xml:space="preserve"> Researches into the development of mythology, philosophy, religion, language, art and custom</w:t>
      </w:r>
      <w:r w:rsidRPr="004E4E61">
        <w:rPr>
          <w:rFonts w:ascii="Times New Roman" w:hAnsi="Times New Roman" w:cs="Times New Roman"/>
          <w:bCs/>
          <w:color w:val="000000" w:themeColor="text1"/>
          <w:sz w:val="22"/>
          <w:lang w:val="en-US"/>
        </w:rPr>
        <w:t>, London, John Murray, 1871.</w:t>
      </w:r>
    </w:p>
    <w:p w14:paraId="54549D8C" w14:textId="77777777" w:rsidR="008870A4" w:rsidRPr="004E4E61" w:rsidRDefault="008870A4" w:rsidP="00A44048">
      <w:pPr>
        <w:pStyle w:val="Paragraphedeliste"/>
        <w:numPr>
          <w:ilvl w:val="0"/>
          <w:numId w:val="1"/>
        </w:numPr>
        <w:jc w:val="both"/>
        <w:rPr>
          <w:rFonts w:ascii="Times New Roman" w:hAnsi="Times New Roman" w:cs="Times New Roman"/>
          <w:bCs/>
          <w:color w:val="000000" w:themeColor="text1"/>
          <w:sz w:val="22"/>
        </w:rPr>
      </w:pPr>
      <w:r w:rsidRPr="004E4E61">
        <w:rPr>
          <w:rFonts w:ascii="Times New Roman" w:hAnsi="Times New Roman" w:cs="Times New Roman"/>
          <w:bCs/>
          <w:color w:val="000000" w:themeColor="text1"/>
          <w:sz w:val="22"/>
        </w:rPr>
        <w:t xml:space="preserve">Warburg </w:t>
      </w:r>
      <w:proofErr w:type="spellStart"/>
      <w:r w:rsidRPr="004E4E61">
        <w:rPr>
          <w:rFonts w:ascii="Times New Roman" w:hAnsi="Times New Roman" w:cs="Times New Roman"/>
          <w:bCs/>
          <w:color w:val="000000" w:themeColor="text1"/>
          <w:sz w:val="22"/>
        </w:rPr>
        <w:t>Aby</w:t>
      </w:r>
      <w:proofErr w:type="spellEnd"/>
      <w:r w:rsidRPr="004E4E61">
        <w:rPr>
          <w:rFonts w:ascii="Times New Roman" w:hAnsi="Times New Roman" w:cs="Times New Roman"/>
          <w:bCs/>
          <w:color w:val="000000" w:themeColor="text1"/>
          <w:sz w:val="22"/>
        </w:rPr>
        <w:t xml:space="preserve">, </w:t>
      </w:r>
      <w:r w:rsidRPr="004E4E61">
        <w:rPr>
          <w:rFonts w:ascii="Times New Roman" w:hAnsi="Times New Roman" w:cs="Times New Roman"/>
          <w:bCs/>
          <w:i/>
          <w:iCs/>
          <w:color w:val="000000" w:themeColor="text1"/>
          <w:sz w:val="22"/>
        </w:rPr>
        <w:t>Miroirs de faille, à Rome avec Giordano Bruno et Edouard Manet, 1928-29,</w:t>
      </w:r>
      <w:r w:rsidRPr="004E4E61">
        <w:rPr>
          <w:rFonts w:ascii="Times New Roman" w:hAnsi="Times New Roman" w:cs="Times New Roman"/>
          <w:bCs/>
          <w:color w:val="000000" w:themeColor="text1"/>
          <w:sz w:val="22"/>
        </w:rPr>
        <w:t xml:space="preserve"> </w:t>
      </w:r>
      <w:r w:rsidR="005446FD" w:rsidRPr="004E4E61">
        <w:rPr>
          <w:rFonts w:ascii="Times New Roman" w:hAnsi="Times New Roman" w:cs="Times New Roman"/>
          <w:bCs/>
          <w:color w:val="000000" w:themeColor="text1"/>
          <w:sz w:val="22"/>
        </w:rPr>
        <w:t xml:space="preserve">trad. S. Zilberfarb, </w:t>
      </w:r>
      <w:r w:rsidRPr="004E4E61">
        <w:rPr>
          <w:rFonts w:ascii="Times New Roman" w:hAnsi="Times New Roman" w:cs="Times New Roman"/>
          <w:bCs/>
          <w:color w:val="000000" w:themeColor="text1"/>
          <w:sz w:val="22"/>
        </w:rPr>
        <w:t xml:space="preserve">Dijon, </w:t>
      </w:r>
      <w:r w:rsidR="0081771D" w:rsidRPr="004E4E61">
        <w:rPr>
          <w:rFonts w:ascii="Times New Roman" w:hAnsi="Times New Roman" w:cs="Times New Roman"/>
          <w:bCs/>
          <w:color w:val="000000" w:themeColor="text1"/>
          <w:sz w:val="22"/>
        </w:rPr>
        <w:t xml:space="preserve">Editions </w:t>
      </w:r>
      <w:r w:rsidRPr="004E4E61">
        <w:rPr>
          <w:rFonts w:ascii="Times New Roman" w:hAnsi="Times New Roman" w:cs="Times New Roman"/>
          <w:bCs/>
          <w:color w:val="000000" w:themeColor="text1"/>
          <w:sz w:val="22"/>
        </w:rPr>
        <w:t>Les Presses du Réel, l’écarquillé, 2011.</w:t>
      </w:r>
    </w:p>
    <w:p w14:paraId="4D2CEAE3" w14:textId="77777777" w:rsidR="008870A4" w:rsidRPr="004E4E61" w:rsidRDefault="008870A4" w:rsidP="00A44048">
      <w:pPr>
        <w:pStyle w:val="Paragraphedeliste"/>
        <w:numPr>
          <w:ilvl w:val="0"/>
          <w:numId w:val="1"/>
        </w:numPr>
        <w:jc w:val="both"/>
        <w:rPr>
          <w:rFonts w:ascii="Times New Roman" w:hAnsi="Times New Roman" w:cs="Times New Roman"/>
          <w:bCs/>
          <w:color w:val="000000" w:themeColor="text1"/>
          <w:sz w:val="22"/>
        </w:rPr>
      </w:pPr>
      <w:r w:rsidRPr="004E4E61">
        <w:rPr>
          <w:rFonts w:ascii="Times New Roman" w:hAnsi="Times New Roman" w:cs="Times New Roman"/>
          <w:bCs/>
          <w:color w:val="000000" w:themeColor="text1"/>
          <w:sz w:val="22"/>
        </w:rPr>
        <w:t xml:space="preserve">Warburg Aby, </w:t>
      </w:r>
      <w:r w:rsidRPr="004E4E61">
        <w:rPr>
          <w:rFonts w:ascii="Times New Roman" w:hAnsi="Times New Roman" w:cs="Times New Roman"/>
          <w:bCs/>
          <w:i/>
          <w:iCs/>
          <w:color w:val="000000" w:themeColor="text1"/>
          <w:sz w:val="22"/>
        </w:rPr>
        <w:t>L’Atlas Mnémosyne d’Aby Warburg</w:t>
      </w:r>
      <w:r w:rsidRPr="004E4E61">
        <w:rPr>
          <w:rFonts w:ascii="Times New Roman" w:hAnsi="Times New Roman" w:cs="Times New Roman"/>
          <w:bCs/>
          <w:color w:val="000000" w:themeColor="text1"/>
          <w:sz w:val="22"/>
        </w:rPr>
        <w:t xml:space="preserve">, </w:t>
      </w:r>
      <w:r w:rsidRPr="004E4E61">
        <w:rPr>
          <w:rFonts w:ascii="Times New Roman" w:hAnsi="Times New Roman" w:cs="Times New Roman"/>
          <w:bCs/>
          <w:i/>
          <w:iCs/>
          <w:color w:val="000000" w:themeColor="text1"/>
          <w:sz w:val="22"/>
        </w:rPr>
        <w:t>Ecrits II</w:t>
      </w:r>
      <w:r w:rsidRPr="004E4E61">
        <w:rPr>
          <w:rFonts w:ascii="Times New Roman" w:hAnsi="Times New Roman" w:cs="Times New Roman"/>
          <w:bCs/>
          <w:color w:val="000000" w:themeColor="text1"/>
          <w:sz w:val="22"/>
        </w:rPr>
        <w:t>, Paris, Editions L’écarquillé, 2012.</w:t>
      </w:r>
    </w:p>
    <w:p w14:paraId="3168030D" w14:textId="77777777" w:rsidR="004C4FFC" w:rsidRPr="004E4E61" w:rsidRDefault="004C4FFC" w:rsidP="00744A2B">
      <w:pPr>
        <w:rPr>
          <w:rFonts w:ascii="Times New Roman" w:hAnsi="Times New Roman" w:cs="Times New Roman"/>
          <w:b/>
          <w:color w:val="000000" w:themeColor="text1"/>
          <w:sz w:val="22"/>
          <w:lang w:val="fr-FR"/>
        </w:rPr>
      </w:pPr>
    </w:p>
    <w:p w14:paraId="7E49C79C" w14:textId="77777777" w:rsidR="004C4FFC" w:rsidRPr="004E4E61" w:rsidRDefault="004C4FFC" w:rsidP="004C4FFC">
      <w:pPr>
        <w:rPr>
          <w:rFonts w:ascii="Times New Roman" w:hAnsi="Times New Roman" w:cs="Times New Roman"/>
          <w:color w:val="000000" w:themeColor="text1"/>
          <w:lang w:val="fr-FR"/>
        </w:rPr>
      </w:pPr>
      <w:r w:rsidRPr="004E4E61">
        <w:rPr>
          <w:rFonts w:ascii="Times New Roman" w:hAnsi="Times New Roman" w:cs="Times New Roman"/>
          <w:b/>
          <w:color w:val="000000" w:themeColor="text1"/>
          <w:lang w:val="fr-FR"/>
        </w:rPr>
        <w:t>Comité scientifique </w:t>
      </w:r>
      <w:r w:rsidRPr="004E4E61">
        <w:rPr>
          <w:rFonts w:ascii="Times New Roman" w:hAnsi="Times New Roman" w:cs="Times New Roman"/>
          <w:color w:val="000000" w:themeColor="text1"/>
          <w:lang w:val="fr-FR"/>
        </w:rPr>
        <w:t xml:space="preserve">: </w:t>
      </w:r>
    </w:p>
    <w:p w14:paraId="6F7BAD38" w14:textId="77777777" w:rsidR="004C4FFC" w:rsidRPr="004E4E61" w:rsidRDefault="004C4FFC" w:rsidP="004C4FFC">
      <w:pPr>
        <w:rPr>
          <w:rFonts w:ascii="Times New Roman" w:hAnsi="Times New Roman" w:cs="Times New Roman"/>
          <w:color w:val="000000" w:themeColor="text1"/>
          <w:lang w:val="fr-FR"/>
        </w:rPr>
      </w:pPr>
      <w:r w:rsidRPr="004E4E61">
        <w:rPr>
          <w:rFonts w:ascii="Times New Roman" w:hAnsi="Times New Roman" w:cs="Times New Roman"/>
          <w:color w:val="000000" w:themeColor="text1"/>
          <w:lang w:val="fr-FR"/>
        </w:rPr>
        <w:t xml:space="preserve">Luc </w:t>
      </w:r>
      <w:proofErr w:type="spellStart"/>
      <w:r w:rsidRPr="004E4E61">
        <w:rPr>
          <w:rFonts w:ascii="Times New Roman" w:hAnsi="Times New Roman" w:cs="Times New Roman"/>
          <w:color w:val="000000" w:themeColor="text1"/>
          <w:lang w:val="fr-FR"/>
        </w:rPr>
        <w:t>Vancheri</w:t>
      </w:r>
      <w:proofErr w:type="spellEnd"/>
      <w:r w:rsidRPr="004E4E61">
        <w:rPr>
          <w:rFonts w:ascii="Times New Roman" w:hAnsi="Times New Roman" w:cs="Times New Roman"/>
          <w:color w:val="000000" w:themeColor="text1"/>
          <w:lang w:val="fr-FR"/>
        </w:rPr>
        <w:t xml:space="preserve"> (professeur, Université Lumière Lyon 2)</w:t>
      </w:r>
    </w:p>
    <w:p w14:paraId="76B13FCA" w14:textId="77777777" w:rsidR="004C4FFC" w:rsidRPr="004E4E61" w:rsidRDefault="004C4FFC" w:rsidP="004C4FFC">
      <w:pPr>
        <w:rPr>
          <w:rFonts w:ascii="Times New Roman" w:hAnsi="Times New Roman" w:cs="Times New Roman"/>
          <w:color w:val="000000" w:themeColor="text1"/>
          <w:lang w:val="fr-FR"/>
        </w:rPr>
      </w:pPr>
      <w:r w:rsidRPr="004E4E61">
        <w:rPr>
          <w:rFonts w:ascii="Times New Roman" w:hAnsi="Times New Roman" w:cs="Times New Roman"/>
          <w:color w:val="000000" w:themeColor="text1"/>
          <w:lang w:val="fr-FR"/>
        </w:rPr>
        <w:t>Hsu Chi-lin, (professeure, Université Nationale Centrale)</w:t>
      </w:r>
    </w:p>
    <w:p w14:paraId="08E931BB" w14:textId="77777777" w:rsidR="004C4FFC" w:rsidRPr="004E4E61" w:rsidRDefault="004C4FFC" w:rsidP="004C4FFC">
      <w:pPr>
        <w:rPr>
          <w:rFonts w:ascii="Times New Roman" w:hAnsi="Times New Roman" w:cs="Times New Roman"/>
          <w:color w:val="000000" w:themeColor="text1"/>
          <w:lang w:val="fr-FR"/>
        </w:rPr>
      </w:pPr>
      <w:r w:rsidRPr="004E4E61">
        <w:rPr>
          <w:rFonts w:ascii="Times New Roman" w:hAnsi="Times New Roman" w:cs="Times New Roman"/>
          <w:color w:val="000000" w:themeColor="text1"/>
          <w:lang w:val="fr-FR"/>
        </w:rPr>
        <w:t xml:space="preserve">Tanguy </w:t>
      </w:r>
      <w:proofErr w:type="spellStart"/>
      <w:r w:rsidRPr="004E4E61">
        <w:rPr>
          <w:rFonts w:ascii="Times New Roman" w:hAnsi="Times New Roman" w:cs="Times New Roman"/>
          <w:color w:val="000000" w:themeColor="text1"/>
          <w:lang w:val="fr-FR"/>
        </w:rPr>
        <w:t>Lepesant</w:t>
      </w:r>
      <w:proofErr w:type="spellEnd"/>
      <w:r w:rsidRPr="004E4E61">
        <w:rPr>
          <w:rFonts w:ascii="Times New Roman" w:hAnsi="Times New Roman" w:cs="Times New Roman"/>
          <w:color w:val="000000" w:themeColor="text1"/>
          <w:lang w:val="fr-FR"/>
        </w:rPr>
        <w:t>, (professeur associé, Université Nationale Centrale)</w:t>
      </w:r>
    </w:p>
    <w:p w14:paraId="75258475" w14:textId="77777777" w:rsidR="004C4FFC" w:rsidRPr="004E4E61" w:rsidRDefault="004C4FFC" w:rsidP="004C4FFC">
      <w:pPr>
        <w:rPr>
          <w:rFonts w:ascii="Times New Roman" w:hAnsi="Times New Roman" w:cs="Times New Roman"/>
          <w:color w:val="000000" w:themeColor="text1"/>
          <w:lang w:val="fr-FR"/>
        </w:rPr>
      </w:pPr>
      <w:r w:rsidRPr="004E4E61">
        <w:rPr>
          <w:rFonts w:ascii="Times New Roman" w:hAnsi="Times New Roman" w:cs="Times New Roman"/>
          <w:color w:val="000000" w:themeColor="text1"/>
          <w:lang w:val="fr-FR"/>
        </w:rPr>
        <w:t>Ivan Gros, (professeur associé, Université Nationale Centrale)</w:t>
      </w:r>
    </w:p>
    <w:p w14:paraId="3B577F2E" w14:textId="77777777" w:rsidR="004C4FFC" w:rsidRPr="004E4E61" w:rsidRDefault="004C4FFC" w:rsidP="004C4FFC">
      <w:pPr>
        <w:rPr>
          <w:rFonts w:ascii="Times New Roman" w:hAnsi="Times New Roman" w:cs="Times New Roman"/>
          <w:color w:val="000000" w:themeColor="text1"/>
          <w:lang w:val="fr-FR"/>
        </w:rPr>
      </w:pPr>
      <w:proofErr w:type="spellStart"/>
      <w:r w:rsidRPr="004E4E61">
        <w:rPr>
          <w:rFonts w:ascii="Times New Roman" w:hAnsi="Times New Roman" w:cs="Times New Roman"/>
          <w:color w:val="000000" w:themeColor="text1"/>
          <w:lang w:val="fr-FR"/>
        </w:rPr>
        <w:t>Shih</w:t>
      </w:r>
      <w:proofErr w:type="spellEnd"/>
      <w:r w:rsidRPr="004E4E61">
        <w:rPr>
          <w:rFonts w:ascii="Times New Roman" w:hAnsi="Times New Roman" w:cs="Times New Roman"/>
          <w:color w:val="000000" w:themeColor="text1"/>
          <w:lang w:val="fr-FR"/>
        </w:rPr>
        <w:t xml:space="preserve"> Wei-chu, (professeure assistante, Université Nationale Centrale)</w:t>
      </w:r>
    </w:p>
    <w:p w14:paraId="26B6D929" w14:textId="77777777" w:rsidR="004C4FFC" w:rsidRPr="004E4E61" w:rsidRDefault="004C4FFC" w:rsidP="004C4FFC">
      <w:pPr>
        <w:rPr>
          <w:rFonts w:ascii="Times New Roman" w:hAnsi="Times New Roman" w:cs="Times New Roman"/>
          <w:color w:val="000000" w:themeColor="text1"/>
          <w:lang w:val="fr-FR"/>
        </w:rPr>
      </w:pPr>
      <w:r w:rsidRPr="004E4E61">
        <w:rPr>
          <w:rFonts w:ascii="Times New Roman" w:hAnsi="Times New Roman" w:cs="Times New Roman" w:hint="eastAsia"/>
          <w:color w:val="000000" w:themeColor="text1"/>
          <w:lang w:val="fr-FR"/>
        </w:rPr>
        <w:t>M</w:t>
      </w:r>
      <w:r w:rsidRPr="004E4E61">
        <w:rPr>
          <w:rFonts w:ascii="Times New Roman" w:hAnsi="Times New Roman" w:cs="Times New Roman"/>
          <w:color w:val="000000" w:themeColor="text1"/>
          <w:lang w:val="fr-FR"/>
        </w:rPr>
        <w:t xml:space="preserve">atthieu </w:t>
      </w:r>
      <w:proofErr w:type="spellStart"/>
      <w:r w:rsidRPr="004E4E61">
        <w:rPr>
          <w:rFonts w:ascii="Times New Roman" w:hAnsi="Times New Roman" w:cs="Times New Roman"/>
          <w:color w:val="000000" w:themeColor="text1"/>
          <w:lang w:val="fr-FR"/>
        </w:rPr>
        <w:t>Kolatte</w:t>
      </w:r>
      <w:proofErr w:type="spellEnd"/>
      <w:r w:rsidRPr="004E4E61">
        <w:rPr>
          <w:rFonts w:ascii="Times New Roman" w:hAnsi="Times New Roman" w:cs="Times New Roman"/>
          <w:color w:val="000000" w:themeColor="text1"/>
          <w:lang w:val="fr-FR"/>
        </w:rPr>
        <w:t>, (professeur assistant, Université Nationale Centrale)</w:t>
      </w:r>
    </w:p>
    <w:p w14:paraId="0A5569D5" w14:textId="77777777" w:rsidR="004C4FFC" w:rsidRPr="004E4E61" w:rsidRDefault="004C4FFC" w:rsidP="00394A6F">
      <w:pPr>
        <w:rPr>
          <w:rFonts w:ascii="Times New Roman" w:hAnsi="Times New Roman" w:cs="Times New Roman"/>
          <w:b/>
          <w:color w:val="000000" w:themeColor="text1"/>
          <w:sz w:val="28"/>
          <w:szCs w:val="28"/>
          <w:lang w:val="fr-FR"/>
        </w:rPr>
      </w:pPr>
    </w:p>
    <w:p w14:paraId="45B1922C" w14:textId="4FB5BE61" w:rsidR="00394A6F" w:rsidRPr="004E4E61" w:rsidRDefault="00A44048" w:rsidP="00394A6F">
      <w:pPr>
        <w:rPr>
          <w:rFonts w:ascii="Times New Roman" w:hAnsi="Times New Roman" w:cs="Times New Roman"/>
          <w:b/>
          <w:color w:val="000000" w:themeColor="text1"/>
          <w:sz w:val="28"/>
          <w:szCs w:val="28"/>
          <w:lang w:val="fr-FR"/>
        </w:rPr>
      </w:pPr>
      <w:r w:rsidRPr="004E4E61">
        <w:rPr>
          <w:rFonts w:ascii="Times New Roman" w:hAnsi="Times New Roman" w:cs="Times New Roman"/>
          <w:b/>
          <w:color w:val="000000" w:themeColor="text1"/>
          <w:sz w:val="28"/>
          <w:szCs w:val="28"/>
          <w:lang w:val="fr-FR"/>
        </w:rPr>
        <w:t>L</w:t>
      </w:r>
      <w:r w:rsidR="00394A6F" w:rsidRPr="004E4E61">
        <w:rPr>
          <w:rFonts w:ascii="Times New Roman" w:hAnsi="Times New Roman" w:cs="Times New Roman"/>
          <w:b/>
          <w:color w:val="000000" w:themeColor="text1"/>
          <w:sz w:val="28"/>
          <w:szCs w:val="28"/>
          <w:lang w:val="fr-FR"/>
        </w:rPr>
        <w:t>angue officielle du colloque : Français</w:t>
      </w:r>
    </w:p>
    <w:p w14:paraId="48418BC8" w14:textId="77777777" w:rsidR="003C0289" w:rsidRPr="004E4E61" w:rsidRDefault="003C0289" w:rsidP="00394A6F">
      <w:pPr>
        <w:rPr>
          <w:rFonts w:ascii="Georgia" w:hAnsi="Georgia" w:cs="Times New Roman"/>
          <w:b/>
          <w:color w:val="000000" w:themeColor="text1"/>
          <w:sz w:val="28"/>
          <w:szCs w:val="28"/>
          <w:lang w:val="fr-FR"/>
        </w:rPr>
      </w:pPr>
    </w:p>
    <w:p w14:paraId="159C63C8" w14:textId="1A23F47C" w:rsidR="00394A6F" w:rsidRPr="004E4E61" w:rsidRDefault="00394A6F" w:rsidP="00394A6F">
      <w:pPr>
        <w:pStyle w:val="Paragraphedeliste"/>
        <w:spacing w:line="360" w:lineRule="atLeast"/>
        <w:ind w:left="0"/>
        <w:jc w:val="both"/>
        <w:rPr>
          <w:rFonts w:ascii="Georgia" w:hAnsi="Georgia"/>
          <w:color w:val="000000" w:themeColor="text1"/>
        </w:rPr>
      </w:pPr>
      <w:r w:rsidRPr="004E4E61">
        <w:rPr>
          <w:rFonts w:ascii="Georgia" w:hAnsi="Georgia"/>
          <w:b/>
          <w:color w:val="000000" w:themeColor="text1"/>
        </w:rPr>
        <w:t xml:space="preserve">Les propositions d’une page accompagnées d’un bref CV sont à envoyer avant le </w:t>
      </w:r>
      <w:r w:rsidR="00284C82" w:rsidRPr="004E4E61">
        <w:rPr>
          <w:rFonts w:ascii="Georgia" w:hAnsi="Georgia"/>
          <w:b/>
          <w:color w:val="000000" w:themeColor="text1"/>
          <w:lang w:eastAsia="zh-TW"/>
        </w:rPr>
        <w:t>3</w:t>
      </w:r>
      <w:r w:rsidR="00F32D0C" w:rsidRPr="004E4E61">
        <w:rPr>
          <w:rFonts w:ascii="Georgia" w:hAnsi="Georgia"/>
          <w:b/>
          <w:color w:val="000000" w:themeColor="text1"/>
          <w:lang w:eastAsia="zh-TW"/>
        </w:rPr>
        <w:t>1</w:t>
      </w:r>
      <w:r w:rsidRPr="004E4E61">
        <w:rPr>
          <w:rFonts w:ascii="Georgia" w:hAnsi="Georgia"/>
          <w:b/>
          <w:color w:val="000000" w:themeColor="text1"/>
          <w:lang w:eastAsia="zh-TW"/>
        </w:rPr>
        <w:t xml:space="preserve"> </w:t>
      </w:r>
      <w:r w:rsidR="00284C82" w:rsidRPr="004E4E61">
        <w:rPr>
          <w:rFonts w:ascii="Georgia" w:hAnsi="Georgia"/>
          <w:b/>
          <w:color w:val="000000" w:themeColor="text1"/>
        </w:rPr>
        <w:t>décembre</w:t>
      </w:r>
      <w:r w:rsidRPr="004E4E61">
        <w:rPr>
          <w:rFonts w:ascii="Georgia" w:hAnsi="Georgia"/>
          <w:b/>
          <w:color w:val="000000" w:themeColor="text1"/>
        </w:rPr>
        <w:t xml:space="preserve"> 20</w:t>
      </w:r>
      <w:r w:rsidR="00284C82" w:rsidRPr="004E4E61">
        <w:rPr>
          <w:rFonts w:ascii="Georgia" w:hAnsi="Georgia"/>
          <w:b/>
          <w:color w:val="000000" w:themeColor="text1"/>
        </w:rPr>
        <w:t>2</w:t>
      </w:r>
      <w:r w:rsidR="00BE238E" w:rsidRPr="004E4E61">
        <w:rPr>
          <w:rFonts w:ascii="Georgia" w:hAnsi="Georgia"/>
          <w:b/>
          <w:color w:val="000000" w:themeColor="text1"/>
        </w:rPr>
        <w:t>0</w:t>
      </w:r>
      <w:r w:rsidRPr="004E4E61">
        <w:rPr>
          <w:rFonts w:ascii="Georgia" w:hAnsi="Georgia"/>
          <w:b/>
          <w:color w:val="000000" w:themeColor="text1"/>
        </w:rPr>
        <w:t xml:space="preserve"> à</w:t>
      </w:r>
      <w:r w:rsidRPr="004E4E61">
        <w:rPr>
          <w:rFonts w:ascii="Georgia" w:hAnsi="Georgia"/>
          <w:color w:val="000000" w:themeColor="text1"/>
        </w:rPr>
        <w:t xml:space="preserve"> </w:t>
      </w:r>
      <w:hyperlink r:id="rId9" w:history="1">
        <w:r w:rsidRPr="004E4E61">
          <w:rPr>
            <w:rStyle w:val="Lienhypertexte"/>
            <w:rFonts w:ascii="Georgia" w:hAnsi="Georgia"/>
            <w:color w:val="000000" w:themeColor="text1"/>
          </w:rPr>
          <w:t>ncu3300@ncu.edu.tw</w:t>
        </w:r>
      </w:hyperlink>
    </w:p>
    <w:p w14:paraId="2BACA741" w14:textId="77777777" w:rsidR="00A44048" w:rsidRPr="004E4E61" w:rsidRDefault="00A44048" w:rsidP="00394A6F">
      <w:pPr>
        <w:rPr>
          <w:rFonts w:ascii="Georgia" w:hAnsi="Georgia"/>
          <w:color w:val="000000" w:themeColor="text1"/>
          <w:lang w:val="fr-CH"/>
        </w:rPr>
      </w:pPr>
      <w:r w:rsidRPr="004E4E61">
        <w:rPr>
          <w:rFonts w:ascii="Georgia" w:hAnsi="Georgia"/>
          <w:color w:val="000000" w:themeColor="text1"/>
          <w:lang w:val="fr-CH"/>
        </w:rPr>
        <w:t>Ou par voie postale :</w:t>
      </w:r>
    </w:p>
    <w:p w14:paraId="199939EA" w14:textId="77777777" w:rsidR="00394A6F" w:rsidRPr="004E4E61" w:rsidRDefault="00394A6F" w:rsidP="00394A6F">
      <w:pPr>
        <w:rPr>
          <w:rFonts w:ascii="Georgia" w:hAnsi="Georgia"/>
          <w:color w:val="000000" w:themeColor="text1"/>
          <w:lang w:val="fr-CH"/>
        </w:rPr>
      </w:pPr>
      <w:r w:rsidRPr="004E4E61">
        <w:rPr>
          <w:rFonts w:ascii="Georgia" w:hAnsi="Georgia"/>
          <w:color w:val="000000" w:themeColor="text1"/>
          <w:lang w:val="fr-CH"/>
        </w:rPr>
        <w:t>Department of French, National Central University</w:t>
      </w:r>
    </w:p>
    <w:p w14:paraId="264F7C8F" w14:textId="77777777" w:rsidR="00394A6F" w:rsidRPr="004E4E61" w:rsidRDefault="00394A6F" w:rsidP="00394A6F">
      <w:pPr>
        <w:rPr>
          <w:rFonts w:ascii="Georgia" w:hAnsi="Georgia"/>
          <w:color w:val="000000" w:themeColor="text1"/>
          <w:lang w:val="fr-FR"/>
        </w:rPr>
      </w:pPr>
      <w:r w:rsidRPr="004E4E61">
        <w:rPr>
          <w:rFonts w:ascii="Georgia" w:hAnsi="Georgia"/>
          <w:color w:val="000000" w:themeColor="text1"/>
          <w:lang w:val="fr-FR"/>
        </w:rPr>
        <w:t xml:space="preserve">300, </w:t>
      </w:r>
      <w:proofErr w:type="spellStart"/>
      <w:r w:rsidR="00A706E3" w:rsidRPr="004E4E61">
        <w:rPr>
          <w:rFonts w:ascii="Georgia" w:hAnsi="Georgia"/>
          <w:color w:val="000000" w:themeColor="text1"/>
          <w:lang w:val="fr-FR"/>
        </w:rPr>
        <w:t>Z</w:t>
      </w:r>
      <w:r w:rsidRPr="004E4E61">
        <w:rPr>
          <w:rFonts w:ascii="Georgia" w:hAnsi="Georgia"/>
          <w:color w:val="000000" w:themeColor="text1"/>
          <w:lang w:val="fr-FR"/>
        </w:rPr>
        <w:t>hongda</w:t>
      </w:r>
      <w:proofErr w:type="spellEnd"/>
      <w:r w:rsidRPr="004E4E61">
        <w:rPr>
          <w:rFonts w:ascii="Georgia" w:hAnsi="Georgia"/>
          <w:color w:val="000000" w:themeColor="text1"/>
          <w:lang w:val="fr-FR"/>
        </w:rPr>
        <w:t xml:space="preserve"> Road, </w:t>
      </w:r>
      <w:proofErr w:type="spellStart"/>
      <w:r w:rsidR="00561022" w:rsidRPr="004E4E61">
        <w:rPr>
          <w:rFonts w:ascii="Georgia" w:hAnsi="Georgia"/>
          <w:color w:val="000000" w:themeColor="text1"/>
          <w:lang w:val="fr-FR"/>
        </w:rPr>
        <w:t>Z</w:t>
      </w:r>
      <w:r w:rsidRPr="004E4E61">
        <w:rPr>
          <w:rFonts w:ascii="Georgia" w:hAnsi="Georgia"/>
          <w:color w:val="000000" w:themeColor="text1"/>
          <w:lang w:val="fr-FR"/>
        </w:rPr>
        <w:t>hongli</w:t>
      </w:r>
      <w:proofErr w:type="spellEnd"/>
      <w:r w:rsidRPr="004E4E61">
        <w:rPr>
          <w:rFonts w:ascii="Georgia" w:hAnsi="Georgia"/>
          <w:color w:val="000000" w:themeColor="text1"/>
          <w:lang w:val="fr-FR"/>
        </w:rPr>
        <w:t xml:space="preserve"> </w:t>
      </w:r>
      <w:r w:rsidR="00A706E3" w:rsidRPr="004E4E61">
        <w:rPr>
          <w:rFonts w:ascii="Georgia" w:hAnsi="Georgia"/>
          <w:color w:val="000000" w:themeColor="text1"/>
          <w:lang w:val="fr-FR"/>
        </w:rPr>
        <w:t>District</w:t>
      </w:r>
      <w:r w:rsidRPr="004E4E61">
        <w:rPr>
          <w:rFonts w:ascii="Georgia" w:hAnsi="Georgia"/>
          <w:color w:val="000000" w:themeColor="text1"/>
          <w:lang w:val="fr-FR"/>
        </w:rPr>
        <w:t xml:space="preserve">, Taoyuan </w:t>
      </w:r>
      <w:r w:rsidR="00A706E3" w:rsidRPr="004E4E61">
        <w:rPr>
          <w:rFonts w:ascii="Georgia" w:hAnsi="Georgia"/>
          <w:color w:val="000000" w:themeColor="text1"/>
          <w:lang w:val="fr-FR"/>
        </w:rPr>
        <w:t xml:space="preserve">City, </w:t>
      </w:r>
      <w:r w:rsidRPr="004E4E61">
        <w:rPr>
          <w:rFonts w:ascii="Georgia" w:hAnsi="Georgia"/>
          <w:color w:val="000000" w:themeColor="text1"/>
          <w:lang w:val="fr-FR"/>
        </w:rPr>
        <w:t>32001</w:t>
      </w:r>
      <w:r w:rsidR="00D309D7" w:rsidRPr="004E4E61">
        <w:rPr>
          <w:rFonts w:ascii="Georgia" w:hAnsi="Georgia"/>
          <w:color w:val="000000" w:themeColor="text1"/>
          <w:lang w:val="fr-FR"/>
        </w:rPr>
        <w:t xml:space="preserve"> (cf. site de la NCU)</w:t>
      </w:r>
    </w:p>
    <w:p w14:paraId="526A366A" w14:textId="77777777" w:rsidR="00394A6F" w:rsidRPr="004E4E61" w:rsidRDefault="00394A6F" w:rsidP="00394A6F">
      <w:pPr>
        <w:rPr>
          <w:rFonts w:ascii="Georgia" w:hAnsi="Georgia"/>
          <w:color w:val="000000" w:themeColor="text1"/>
        </w:rPr>
      </w:pPr>
      <w:r w:rsidRPr="004E4E61">
        <w:rPr>
          <w:rFonts w:ascii="Georgia" w:hAnsi="Georgia"/>
          <w:color w:val="000000" w:themeColor="text1"/>
        </w:rPr>
        <w:t>Taiwan</w:t>
      </w:r>
    </w:p>
    <w:p w14:paraId="4FB670C0" w14:textId="77777777" w:rsidR="00FF0D3C" w:rsidRPr="004E4E61" w:rsidRDefault="00394A6F" w:rsidP="001A630D">
      <w:pPr>
        <w:spacing w:line="0" w:lineRule="atLeast"/>
        <w:rPr>
          <w:rFonts w:ascii="Georgia" w:hAnsi="Georgia"/>
          <w:color w:val="000000" w:themeColor="text1"/>
        </w:rPr>
      </w:pPr>
      <w:r w:rsidRPr="004E4E61">
        <w:rPr>
          <w:rFonts w:ascii="Georgia" w:hAnsi="Georgia"/>
          <w:color w:val="000000" w:themeColor="text1"/>
        </w:rPr>
        <w:t>32001</w:t>
      </w:r>
      <w:r w:rsidRPr="004E4E61">
        <w:rPr>
          <w:rFonts w:ascii="Georgia" w:eastAsia="DFKai-SB" w:hAnsi="Georgia" w:cs="Times New Roman"/>
          <w:b/>
          <w:color w:val="000000" w:themeColor="text1"/>
          <w:sz w:val="28"/>
          <w:szCs w:val="28"/>
        </w:rPr>
        <w:t>台灣</w:t>
      </w:r>
      <w:r w:rsidRPr="004E4E61">
        <w:rPr>
          <w:rFonts w:ascii="Georgia" w:eastAsia="DFKai-SB" w:hAnsi="Georgia" w:cs="Times New Roman"/>
          <w:b/>
          <w:color w:val="000000" w:themeColor="text1"/>
          <w:sz w:val="28"/>
          <w:szCs w:val="28"/>
        </w:rPr>
        <w:t xml:space="preserve">   </w:t>
      </w:r>
      <w:r w:rsidRPr="004E4E61">
        <w:rPr>
          <w:rFonts w:ascii="Georgia" w:eastAsia="DFKai-SB" w:hAnsi="Georgia" w:cs="Times New Roman"/>
          <w:b/>
          <w:color w:val="000000" w:themeColor="text1"/>
          <w:sz w:val="28"/>
          <w:szCs w:val="28"/>
        </w:rPr>
        <w:t>桃園市中壢區中大路</w:t>
      </w:r>
      <w:r w:rsidRPr="004E4E61">
        <w:rPr>
          <w:rFonts w:ascii="Georgia" w:eastAsia="DFKai-SB" w:hAnsi="Georgia" w:cs="Times New Roman"/>
          <w:b/>
          <w:color w:val="000000" w:themeColor="text1"/>
          <w:sz w:val="28"/>
          <w:szCs w:val="28"/>
        </w:rPr>
        <w:t>300</w:t>
      </w:r>
      <w:r w:rsidRPr="004E4E61">
        <w:rPr>
          <w:rFonts w:ascii="Georgia" w:eastAsia="DFKai-SB" w:hAnsi="Georgia" w:cs="Times New Roman"/>
          <w:b/>
          <w:color w:val="000000" w:themeColor="text1"/>
          <w:sz w:val="28"/>
          <w:szCs w:val="28"/>
        </w:rPr>
        <w:t>號國立中央大學法文系</w:t>
      </w:r>
    </w:p>
    <w:sectPr w:rsidR="00FF0D3C" w:rsidRPr="004E4E61" w:rsidSect="001A630D">
      <w:pgSz w:w="11906" w:h="16838"/>
      <w:pgMar w:top="1134" w:right="1797" w:bottom="1134" w:left="1797"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255EB" w14:textId="77777777" w:rsidR="00303DE2" w:rsidRDefault="00303DE2" w:rsidP="00C4244E">
      <w:r>
        <w:separator/>
      </w:r>
    </w:p>
  </w:endnote>
  <w:endnote w:type="continuationSeparator" w:id="0">
    <w:p w14:paraId="7F7E5F2F" w14:textId="77777777" w:rsidR="00303DE2" w:rsidRDefault="00303DE2" w:rsidP="00C4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00000000" w:usb1="500078FF" w:usb2="00000021" w:usb3="00000000" w:csb0="000001BF" w:csb1="00000000"/>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DFKai-SB">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F33F7" w14:textId="77777777" w:rsidR="00303DE2" w:rsidRDefault="00303DE2" w:rsidP="00C4244E">
      <w:r>
        <w:separator/>
      </w:r>
    </w:p>
  </w:footnote>
  <w:footnote w:type="continuationSeparator" w:id="0">
    <w:p w14:paraId="2477FA4C" w14:textId="77777777" w:rsidR="00303DE2" w:rsidRDefault="00303DE2" w:rsidP="00C4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66CA0"/>
    <w:multiLevelType w:val="hybridMultilevel"/>
    <w:tmpl w:val="E3F266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80"/>
  <w:hyphenationZone w:val="425"/>
  <w:characterSpacingControl w:val="doNotCompress"/>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3B"/>
    <w:rsid w:val="0000267D"/>
    <w:rsid w:val="00023396"/>
    <w:rsid w:val="00033435"/>
    <w:rsid w:val="0005790A"/>
    <w:rsid w:val="00077725"/>
    <w:rsid w:val="000A070A"/>
    <w:rsid w:val="00105A9A"/>
    <w:rsid w:val="00121708"/>
    <w:rsid w:val="00143692"/>
    <w:rsid w:val="001528E9"/>
    <w:rsid w:val="00152AC0"/>
    <w:rsid w:val="00194961"/>
    <w:rsid w:val="00197243"/>
    <w:rsid w:val="001A630D"/>
    <w:rsid w:val="001D78FE"/>
    <w:rsid w:val="001F731C"/>
    <w:rsid w:val="002747FA"/>
    <w:rsid w:val="00284C82"/>
    <w:rsid w:val="002B5267"/>
    <w:rsid w:val="002C1AF9"/>
    <w:rsid w:val="002C72F9"/>
    <w:rsid w:val="002F698D"/>
    <w:rsid w:val="00303DE2"/>
    <w:rsid w:val="00374232"/>
    <w:rsid w:val="00394A6F"/>
    <w:rsid w:val="003A45A8"/>
    <w:rsid w:val="003C0289"/>
    <w:rsid w:val="004808CC"/>
    <w:rsid w:val="004C36A2"/>
    <w:rsid w:val="004C4FFC"/>
    <w:rsid w:val="004C5866"/>
    <w:rsid w:val="004E4E61"/>
    <w:rsid w:val="00535DBA"/>
    <w:rsid w:val="005427BB"/>
    <w:rsid w:val="00544534"/>
    <w:rsid w:val="005446FD"/>
    <w:rsid w:val="00561022"/>
    <w:rsid w:val="005A2337"/>
    <w:rsid w:val="005E42A1"/>
    <w:rsid w:val="00613D16"/>
    <w:rsid w:val="00614418"/>
    <w:rsid w:val="00623719"/>
    <w:rsid w:val="006259B5"/>
    <w:rsid w:val="006741EF"/>
    <w:rsid w:val="00714ED4"/>
    <w:rsid w:val="00740CD7"/>
    <w:rsid w:val="00744A2B"/>
    <w:rsid w:val="00761AF4"/>
    <w:rsid w:val="007A3C32"/>
    <w:rsid w:val="008127A5"/>
    <w:rsid w:val="0081771D"/>
    <w:rsid w:val="008356FB"/>
    <w:rsid w:val="0084247A"/>
    <w:rsid w:val="00844682"/>
    <w:rsid w:val="00861FC0"/>
    <w:rsid w:val="00876716"/>
    <w:rsid w:val="008767BE"/>
    <w:rsid w:val="008870A4"/>
    <w:rsid w:val="0094289A"/>
    <w:rsid w:val="00973640"/>
    <w:rsid w:val="009857A7"/>
    <w:rsid w:val="009A04A1"/>
    <w:rsid w:val="009A75D1"/>
    <w:rsid w:val="009D0A3B"/>
    <w:rsid w:val="009D4958"/>
    <w:rsid w:val="009F39A4"/>
    <w:rsid w:val="00A44048"/>
    <w:rsid w:val="00A5403E"/>
    <w:rsid w:val="00A706E3"/>
    <w:rsid w:val="00A83DD6"/>
    <w:rsid w:val="00A9209E"/>
    <w:rsid w:val="00AB56F6"/>
    <w:rsid w:val="00B3715B"/>
    <w:rsid w:val="00BA7586"/>
    <w:rsid w:val="00BC419E"/>
    <w:rsid w:val="00BE141B"/>
    <w:rsid w:val="00BE238E"/>
    <w:rsid w:val="00C4244E"/>
    <w:rsid w:val="00C45338"/>
    <w:rsid w:val="00C6232C"/>
    <w:rsid w:val="00C92BFC"/>
    <w:rsid w:val="00CA4591"/>
    <w:rsid w:val="00CD4CF3"/>
    <w:rsid w:val="00D01BA5"/>
    <w:rsid w:val="00D15C54"/>
    <w:rsid w:val="00D309D7"/>
    <w:rsid w:val="00D57FCA"/>
    <w:rsid w:val="00D8587D"/>
    <w:rsid w:val="00E22948"/>
    <w:rsid w:val="00E34D06"/>
    <w:rsid w:val="00E40206"/>
    <w:rsid w:val="00E42234"/>
    <w:rsid w:val="00E7651F"/>
    <w:rsid w:val="00EA335A"/>
    <w:rsid w:val="00F126B7"/>
    <w:rsid w:val="00F12B14"/>
    <w:rsid w:val="00F32D0C"/>
    <w:rsid w:val="00FF0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E43780"/>
  <w15:docId w15:val="{FFC00EFB-D6AD-904F-AA90-587FDAC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87"/>
    <w:pPr>
      <w:widowControl w:val="0"/>
    </w:pPr>
  </w:style>
  <w:style w:type="paragraph" w:styleId="Titre1">
    <w:name w:val="heading 1"/>
    <w:basedOn w:val="Normal"/>
    <w:link w:val="Titre1Car"/>
    <w:uiPriority w:val="9"/>
    <w:qFormat/>
    <w:rsid w:val="003A45A8"/>
    <w:pPr>
      <w:widowControl/>
      <w:spacing w:before="100" w:beforeAutospacing="1" w:after="100" w:afterAutospacing="1"/>
      <w:outlineLvl w:val="0"/>
    </w:pPr>
    <w:rPr>
      <w:rFonts w:ascii="PMingLiU" w:eastAsia="PMingLiU" w:hAnsi="PMingLiU" w:cs="PMingLiU"/>
      <w:b/>
      <w:bCs/>
      <w:kern w:val="36"/>
      <w:sz w:val="48"/>
      <w:szCs w:val="48"/>
    </w:rPr>
  </w:style>
  <w:style w:type="paragraph" w:styleId="Titre2">
    <w:name w:val="heading 2"/>
    <w:basedOn w:val="Normal"/>
    <w:next w:val="Normal"/>
    <w:link w:val="Titre2Car"/>
    <w:uiPriority w:val="9"/>
    <w:semiHidden/>
    <w:unhideWhenUsed/>
    <w:qFormat/>
    <w:rsid w:val="00121708"/>
    <w:pPr>
      <w:keepNext/>
      <w:spacing w:line="720" w:lineRule="auto"/>
      <w:outlineLvl w:val="1"/>
    </w:pPr>
    <w:rPr>
      <w:rFonts w:asciiTheme="majorHAnsi" w:eastAsiaTheme="majorEastAsia" w:hAnsiTheme="majorHAnsi" w:cstheme="majorBidi"/>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
    <w:name w:val="頁首 字元"/>
    <w:basedOn w:val="Policepardfaut"/>
    <w:uiPriority w:val="99"/>
    <w:semiHidden/>
    <w:qFormat/>
    <w:rsid w:val="009E2E38"/>
    <w:rPr>
      <w:sz w:val="20"/>
      <w:szCs w:val="20"/>
    </w:rPr>
  </w:style>
  <w:style w:type="character" w:customStyle="1" w:styleId="a0">
    <w:name w:val="頁尾 字元"/>
    <w:basedOn w:val="Policepardfaut"/>
    <w:uiPriority w:val="99"/>
    <w:semiHidden/>
    <w:qFormat/>
    <w:rsid w:val="009E2E38"/>
    <w:rPr>
      <w:sz w:val="20"/>
      <w:szCs w:val="20"/>
    </w:rPr>
  </w:style>
  <w:style w:type="paragraph" w:customStyle="1" w:styleId="Titre10">
    <w:name w:val="Titre1"/>
    <w:basedOn w:val="Normal"/>
    <w:next w:val="Corpsdetexte"/>
    <w:qFormat/>
    <w:rsid w:val="009D0A3B"/>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9D0A3B"/>
    <w:pPr>
      <w:spacing w:after="140" w:line="276" w:lineRule="auto"/>
    </w:pPr>
  </w:style>
  <w:style w:type="paragraph" w:styleId="Liste">
    <w:name w:val="List"/>
    <w:basedOn w:val="Corpsdetexte"/>
    <w:rsid w:val="009D0A3B"/>
    <w:rPr>
      <w:rFonts w:cs="Lohit Devanagari"/>
    </w:rPr>
  </w:style>
  <w:style w:type="paragraph" w:customStyle="1" w:styleId="1">
    <w:name w:val="標號1"/>
    <w:basedOn w:val="Normal"/>
    <w:qFormat/>
    <w:rsid w:val="009D0A3B"/>
    <w:pPr>
      <w:suppressLineNumbers/>
      <w:spacing w:before="120" w:after="120"/>
    </w:pPr>
    <w:rPr>
      <w:rFonts w:cs="Lohit Devanagari"/>
      <w:i/>
      <w:iCs/>
      <w:szCs w:val="24"/>
    </w:rPr>
  </w:style>
  <w:style w:type="paragraph" w:customStyle="1" w:styleId="Index">
    <w:name w:val="Index"/>
    <w:basedOn w:val="Normal"/>
    <w:qFormat/>
    <w:rsid w:val="009D0A3B"/>
    <w:pPr>
      <w:suppressLineNumbers/>
    </w:pPr>
    <w:rPr>
      <w:rFonts w:cs="Lohit Devanagari"/>
    </w:rPr>
  </w:style>
  <w:style w:type="paragraph" w:styleId="NormalWeb">
    <w:name w:val="Normal (Web)"/>
    <w:basedOn w:val="Normal"/>
    <w:uiPriority w:val="99"/>
    <w:unhideWhenUsed/>
    <w:qFormat/>
    <w:rsid w:val="003C0363"/>
    <w:pPr>
      <w:widowControl/>
      <w:spacing w:beforeAutospacing="1" w:afterAutospacing="1"/>
    </w:pPr>
    <w:rPr>
      <w:rFonts w:ascii="PMingLiU" w:eastAsia="PMingLiU" w:hAnsi="PMingLiU" w:cs="PMingLiU"/>
      <w:kern w:val="0"/>
      <w:szCs w:val="24"/>
    </w:rPr>
  </w:style>
  <w:style w:type="paragraph" w:customStyle="1" w:styleId="10">
    <w:name w:val="頁首1"/>
    <w:basedOn w:val="Normal"/>
    <w:uiPriority w:val="99"/>
    <w:semiHidden/>
    <w:unhideWhenUsed/>
    <w:rsid w:val="009E2E38"/>
    <w:pPr>
      <w:tabs>
        <w:tab w:val="center" w:pos="4153"/>
        <w:tab w:val="right" w:pos="8306"/>
      </w:tabs>
      <w:snapToGrid w:val="0"/>
    </w:pPr>
    <w:rPr>
      <w:sz w:val="20"/>
      <w:szCs w:val="20"/>
    </w:rPr>
  </w:style>
  <w:style w:type="paragraph" w:customStyle="1" w:styleId="11">
    <w:name w:val="頁尾1"/>
    <w:basedOn w:val="Normal"/>
    <w:uiPriority w:val="99"/>
    <w:semiHidden/>
    <w:unhideWhenUsed/>
    <w:rsid w:val="009E2E38"/>
    <w:pPr>
      <w:tabs>
        <w:tab w:val="center" w:pos="4153"/>
        <w:tab w:val="right" w:pos="8306"/>
      </w:tabs>
      <w:snapToGrid w:val="0"/>
    </w:pPr>
    <w:rPr>
      <w:sz w:val="20"/>
      <w:szCs w:val="20"/>
    </w:rPr>
  </w:style>
  <w:style w:type="paragraph" w:styleId="En-tte">
    <w:name w:val="header"/>
    <w:basedOn w:val="Normal"/>
    <w:link w:val="En-tteCar"/>
    <w:uiPriority w:val="99"/>
    <w:semiHidden/>
    <w:unhideWhenUsed/>
    <w:rsid w:val="00C4244E"/>
    <w:pPr>
      <w:tabs>
        <w:tab w:val="center" w:pos="4153"/>
        <w:tab w:val="right" w:pos="8306"/>
      </w:tabs>
      <w:snapToGrid w:val="0"/>
    </w:pPr>
    <w:rPr>
      <w:sz w:val="20"/>
      <w:szCs w:val="20"/>
    </w:rPr>
  </w:style>
  <w:style w:type="character" w:customStyle="1" w:styleId="En-tteCar">
    <w:name w:val="En-tête Car"/>
    <w:basedOn w:val="Policepardfaut"/>
    <w:link w:val="En-tte"/>
    <w:uiPriority w:val="99"/>
    <w:semiHidden/>
    <w:rsid w:val="00C4244E"/>
    <w:rPr>
      <w:sz w:val="20"/>
      <w:szCs w:val="20"/>
    </w:rPr>
  </w:style>
  <w:style w:type="paragraph" w:styleId="Pieddepage">
    <w:name w:val="footer"/>
    <w:basedOn w:val="Normal"/>
    <w:link w:val="PieddepageCar"/>
    <w:uiPriority w:val="99"/>
    <w:semiHidden/>
    <w:unhideWhenUsed/>
    <w:rsid w:val="00C4244E"/>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semiHidden/>
    <w:rsid w:val="00C4244E"/>
    <w:rPr>
      <w:sz w:val="20"/>
      <w:szCs w:val="20"/>
    </w:rPr>
  </w:style>
  <w:style w:type="character" w:styleId="Lienhypertexte">
    <w:name w:val="Hyperlink"/>
    <w:basedOn w:val="Policepardfaut"/>
    <w:uiPriority w:val="99"/>
    <w:unhideWhenUsed/>
    <w:rsid w:val="00394A6F"/>
    <w:rPr>
      <w:color w:val="0000FF" w:themeColor="hyperlink"/>
      <w:u w:val="single"/>
    </w:rPr>
  </w:style>
  <w:style w:type="paragraph" w:styleId="Paragraphedeliste">
    <w:name w:val="List Paragraph"/>
    <w:basedOn w:val="Normal"/>
    <w:uiPriority w:val="34"/>
    <w:qFormat/>
    <w:rsid w:val="00394A6F"/>
    <w:pPr>
      <w:widowControl/>
      <w:ind w:left="720"/>
      <w:contextualSpacing/>
    </w:pPr>
    <w:rPr>
      <w:kern w:val="0"/>
      <w:szCs w:val="24"/>
      <w:lang w:val="fr-FR" w:eastAsia="en-US"/>
    </w:rPr>
  </w:style>
  <w:style w:type="character" w:customStyle="1" w:styleId="Titre1Car">
    <w:name w:val="Titre 1 Car"/>
    <w:basedOn w:val="Policepardfaut"/>
    <w:link w:val="Titre1"/>
    <w:uiPriority w:val="9"/>
    <w:rsid w:val="003A45A8"/>
    <w:rPr>
      <w:rFonts w:ascii="PMingLiU" w:eastAsia="PMingLiU" w:hAnsi="PMingLiU" w:cs="PMingLiU"/>
      <w:b/>
      <w:bCs/>
      <w:kern w:val="36"/>
      <w:sz w:val="48"/>
      <w:szCs w:val="48"/>
    </w:rPr>
  </w:style>
  <w:style w:type="character" w:customStyle="1" w:styleId="a-size-extra-large">
    <w:name w:val="a-size-extra-large"/>
    <w:basedOn w:val="Policepardfaut"/>
    <w:rsid w:val="003A45A8"/>
  </w:style>
  <w:style w:type="character" w:customStyle="1" w:styleId="Titre2Car">
    <w:name w:val="Titre 2 Car"/>
    <w:basedOn w:val="Policepardfaut"/>
    <w:link w:val="Titre2"/>
    <w:uiPriority w:val="9"/>
    <w:semiHidden/>
    <w:rsid w:val="00121708"/>
    <w:rPr>
      <w:rFonts w:asciiTheme="majorHAnsi" w:eastAsiaTheme="majorEastAsia" w:hAnsiTheme="majorHAnsi" w:cstheme="majorBidi"/>
      <w:b/>
      <w:bCs/>
      <w:sz w:val="48"/>
      <w:szCs w:val="48"/>
    </w:rPr>
  </w:style>
  <w:style w:type="character" w:customStyle="1" w:styleId="a-size-medium">
    <w:name w:val="a-size-medium"/>
    <w:basedOn w:val="Policepardfaut"/>
    <w:rsid w:val="0012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2259">
      <w:bodyDiv w:val="1"/>
      <w:marLeft w:val="0"/>
      <w:marRight w:val="0"/>
      <w:marTop w:val="0"/>
      <w:marBottom w:val="0"/>
      <w:divBdr>
        <w:top w:val="none" w:sz="0" w:space="0" w:color="auto"/>
        <w:left w:val="none" w:sz="0" w:space="0" w:color="auto"/>
        <w:bottom w:val="none" w:sz="0" w:space="0" w:color="auto"/>
        <w:right w:val="none" w:sz="0" w:space="0" w:color="auto"/>
      </w:divBdr>
    </w:div>
    <w:div w:id="40059613">
      <w:bodyDiv w:val="1"/>
      <w:marLeft w:val="0"/>
      <w:marRight w:val="0"/>
      <w:marTop w:val="0"/>
      <w:marBottom w:val="0"/>
      <w:divBdr>
        <w:top w:val="none" w:sz="0" w:space="0" w:color="auto"/>
        <w:left w:val="none" w:sz="0" w:space="0" w:color="auto"/>
        <w:bottom w:val="none" w:sz="0" w:space="0" w:color="auto"/>
        <w:right w:val="none" w:sz="0" w:space="0" w:color="auto"/>
      </w:divBdr>
      <w:divsChild>
        <w:div w:id="556818716">
          <w:marLeft w:val="0"/>
          <w:marRight w:val="0"/>
          <w:marTop w:val="0"/>
          <w:marBottom w:val="0"/>
          <w:divBdr>
            <w:top w:val="none" w:sz="0" w:space="0" w:color="auto"/>
            <w:left w:val="none" w:sz="0" w:space="0" w:color="auto"/>
            <w:bottom w:val="none" w:sz="0" w:space="0" w:color="auto"/>
            <w:right w:val="none" w:sz="0" w:space="0" w:color="auto"/>
          </w:divBdr>
          <w:divsChild>
            <w:div w:id="1279877141">
              <w:marLeft w:val="0"/>
              <w:marRight w:val="0"/>
              <w:marTop w:val="0"/>
              <w:marBottom w:val="0"/>
              <w:divBdr>
                <w:top w:val="none" w:sz="0" w:space="0" w:color="auto"/>
                <w:left w:val="none" w:sz="0" w:space="0" w:color="auto"/>
                <w:bottom w:val="none" w:sz="0" w:space="0" w:color="auto"/>
                <w:right w:val="none" w:sz="0" w:space="0" w:color="auto"/>
              </w:divBdr>
              <w:divsChild>
                <w:div w:id="643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0682">
      <w:bodyDiv w:val="1"/>
      <w:marLeft w:val="0"/>
      <w:marRight w:val="0"/>
      <w:marTop w:val="0"/>
      <w:marBottom w:val="0"/>
      <w:divBdr>
        <w:top w:val="none" w:sz="0" w:space="0" w:color="auto"/>
        <w:left w:val="none" w:sz="0" w:space="0" w:color="auto"/>
        <w:bottom w:val="none" w:sz="0" w:space="0" w:color="auto"/>
        <w:right w:val="none" w:sz="0" w:space="0" w:color="auto"/>
      </w:divBdr>
      <w:divsChild>
        <w:div w:id="1469011648">
          <w:marLeft w:val="0"/>
          <w:marRight w:val="0"/>
          <w:marTop w:val="0"/>
          <w:marBottom w:val="0"/>
          <w:divBdr>
            <w:top w:val="none" w:sz="0" w:space="0" w:color="auto"/>
            <w:left w:val="none" w:sz="0" w:space="0" w:color="auto"/>
            <w:bottom w:val="none" w:sz="0" w:space="0" w:color="auto"/>
            <w:right w:val="none" w:sz="0" w:space="0" w:color="auto"/>
          </w:divBdr>
          <w:divsChild>
            <w:div w:id="682166415">
              <w:marLeft w:val="0"/>
              <w:marRight w:val="0"/>
              <w:marTop w:val="0"/>
              <w:marBottom w:val="0"/>
              <w:divBdr>
                <w:top w:val="none" w:sz="0" w:space="0" w:color="auto"/>
                <w:left w:val="none" w:sz="0" w:space="0" w:color="auto"/>
                <w:bottom w:val="none" w:sz="0" w:space="0" w:color="auto"/>
                <w:right w:val="none" w:sz="0" w:space="0" w:color="auto"/>
              </w:divBdr>
              <w:divsChild>
                <w:div w:id="47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5725">
      <w:bodyDiv w:val="1"/>
      <w:marLeft w:val="0"/>
      <w:marRight w:val="0"/>
      <w:marTop w:val="0"/>
      <w:marBottom w:val="0"/>
      <w:divBdr>
        <w:top w:val="none" w:sz="0" w:space="0" w:color="auto"/>
        <w:left w:val="none" w:sz="0" w:space="0" w:color="auto"/>
        <w:bottom w:val="none" w:sz="0" w:space="0" w:color="auto"/>
        <w:right w:val="none" w:sz="0" w:space="0" w:color="auto"/>
      </w:divBdr>
      <w:divsChild>
        <w:div w:id="1046100266">
          <w:marLeft w:val="0"/>
          <w:marRight w:val="0"/>
          <w:marTop w:val="0"/>
          <w:marBottom w:val="0"/>
          <w:divBdr>
            <w:top w:val="none" w:sz="0" w:space="0" w:color="auto"/>
            <w:left w:val="none" w:sz="0" w:space="0" w:color="auto"/>
            <w:bottom w:val="none" w:sz="0" w:space="0" w:color="auto"/>
            <w:right w:val="none" w:sz="0" w:space="0" w:color="auto"/>
          </w:divBdr>
          <w:divsChild>
            <w:div w:id="467742455">
              <w:marLeft w:val="0"/>
              <w:marRight w:val="0"/>
              <w:marTop w:val="0"/>
              <w:marBottom w:val="0"/>
              <w:divBdr>
                <w:top w:val="none" w:sz="0" w:space="0" w:color="auto"/>
                <w:left w:val="none" w:sz="0" w:space="0" w:color="auto"/>
                <w:bottom w:val="none" w:sz="0" w:space="0" w:color="auto"/>
                <w:right w:val="none" w:sz="0" w:space="0" w:color="auto"/>
              </w:divBdr>
              <w:divsChild>
                <w:div w:id="432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3404">
      <w:bodyDiv w:val="1"/>
      <w:marLeft w:val="0"/>
      <w:marRight w:val="0"/>
      <w:marTop w:val="0"/>
      <w:marBottom w:val="0"/>
      <w:divBdr>
        <w:top w:val="none" w:sz="0" w:space="0" w:color="auto"/>
        <w:left w:val="none" w:sz="0" w:space="0" w:color="auto"/>
        <w:bottom w:val="none" w:sz="0" w:space="0" w:color="auto"/>
        <w:right w:val="none" w:sz="0" w:space="0" w:color="auto"/>
      </w:divBdr>
      <w:divsChild>
        <w:div w:id="1503928100">
          <w:marLeft w:val="0"/>
          <w:marRight w:val="0"/>
          <w:marTop w:val="0"/>
          <w:marBottom w:val="0"/>
          <w:divBdr>
            <w:top w:val="none" w:sz="0" w:space="0" w:color="auto"/>
            <w:left w:val="none" w:sz="0" w:space="0" w:color="auto"/>
            <w:bottom w:val="none" w:sz="0" w:space="0" w:color="auto"/>
            <w:right w:val="none" w:sz="0" w:space="0" w:color="auto"/>
          </w:divBdr>
          <w:divsChild>
            <w:div w:id="1399749463">
              <w:marLeft w:val="0"/>
              <w:marRight w:val="0"/>
              <w:marTop w:val="0"/>
              <w:marBottom w:val="0"/>
              <w:divBdr>
                <w:top w:val="none" w:sz="0" w:space="0" w:color="auto"/>
                <w:left w:val="none" w:sz="0" w:space="0" w:color="auto"/>
                <w:bottom w:val="none" w:sz="0" w:space="0" w:color="auto"/>
                <w:right w:val="none" w:sz="0" w:space="0" w:color="auto"/>
              </w:divBdr>
              <w:divsChild>
                <w:div w:id="585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7463">
      <w:bodyDiv w:val="1"/>
      <w:marLeft w:val="0"/>
      <w:marRight w:val="0"/>
      <w:marTop w:val="0"/>
      <w:marBottom w:val="0"/>
      <w:divBdr>
        <w:top w:val="none" w:sz="0" w:space="0" w:color="auto"/>
        <w:left w:val="none" w:sz="0" w:space="0" w:color="auto"/>
        <w:bottom w:val="none" w:sz="0" w:space="0" w:color="auto"/>
        <w:right w:val="none" w:sz="0" w:space="0" w:color="auto"/>
      </w:divBdr>
    </w:div>
    <w:div w:id="1181771950">
      <w:bodyDiv w:val="1"/>
      <w:marLeft w:val="0"/>
      <w:marRight w:val="0"/>
      <w:marTop w:val="0"/>
      <w:marBottom w:val="0"/>
      <w:divBdr>
        <w:top w:val="none" w:sz="0" w:space="0" w:color="auto"/>
        <w:left w:val="none" w:sz="0" w:space="0" w:color="auto"/>
        <w:bottom w:val="none" w:sz="0" w:space="0" w:color="auto"/>
        <w:right w:val="none" w:sz="0" w:space="0" w:color="auto"/>
      </w:divBdr>
      <w:divsChild>
        <w:div w:id="343410246">
          <w:marLeft w:val="0"/>
          <w:marRight w:val="0"/>
          <w:marTop w:val="0"/>
          <w:marBottom w:val="0"/>
          <w:divBdr>
            <w:top w:val="none" w:sz="0" w:space="0" w:color="auto"/>
            <w:left w:val="none" w:sz="0" w:space="0" w:color="auto"/>
            <w:bottom w:val="none" w:sz="0" w:space="0" w:color="auto"/>
            <w:right w:val="none" w:sz="0" w:space="0" w:color="auto"/>
          </w:divBdr>
          <w:divsChild>
            <w:div w:id="879823593">
              <w:marLeft w:val="0"/>
              <w:marRight w:val="0"/>
              <w:marTop w:val="0"/>
              <w:marBottom w:val="0"/>
              <w:divBdr>
                <w:top w:val="none" w:sz="0" w:space="0" w:color="auto"/>
                <w:left w:val="none" w:sz="0" w:space="0" w:color="auto"/>
                <w:bottom w:val="none" w:sz="0" w:space="0" w:color="auto"/>
                <w:right w:val="none" w:sz="0" w:space="0" w:color="auto"/>
              </w:divBdr>
              <w:divsChild>
                <w:div w:id="1060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2573">
      <w:bodyDiv w:val="1"/>
      <w:marLeft w:val="0"/>
      <w:marRight w:val="0"/>
      <w:marTop w:val="0"/>
      <w:marBottom w:val="0"/>
      <w:divBdr>
        <w:top w:val="none" w:sz="0" w:space="0" w:color="auto"/>
        <w:left w:val="none" w:sz="0" w:space="0" w:color="auto"/>
        <w:bottom w:val="none" w:sz="0" w:space="0" w:color="auto"/>
        <w:right w:val="none" w:sz="0" w:space="0" w:color="auto"/>
      </w:divBdr>
      <w:divsChild>
        <w:div w:id="1396929372">
          <w:marLeft w:val="0"/>
          <w:marRight w:val="0"/>
          <w:marTop w:val="0"/>
          <w:marBottom w:val="0"/>
          <w:divBdr>
            <w:top w:val="none" w:sz="0" w:space="0" w:color="auto"/>
            <w:left w:val="none" w:sz="0" w:space="0" w:color="auto"/>
            <w:bottom w:val="none" w:sz="0" w:space="0" w:color="auto"/>
            <w:right w:val="none" w:sz="0" w:space="0" w:color="auto"/>
          </w:divBdr>
          <w:divsChild>
            <w:div w:id="1738043922">
              <w:marLeft w:val="0"/>
              <w:marRight w:val="0"/>
              <w:marTop w:val="0"/>
              <w:marBottom w:val="0"/>
              <w:divBdr>
                <w:top w:val="none" w:sz="0" w:space="0" w:color="auto"/>
                <w:left w:val="none" w:sz="0" w:space="0" w:color="auto"/>
                <w:bottom w:val="none" w:sz="0" w:space="0" w:color="auto"/>
                <w:right w:val="none" w:sz="0" w:space="0" w:color="auto"/>
              </w:divBdr>
              <w:divsChild>
                <w:div w:id="1865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7789">
      <w:bodyDiv w:val="1"/>
      <w:marLeft w:val="0"/>
      <w:marRight w:val="0"/>
      <w:marTop w:val="0"/>
      <w:marBottom w:val="0"/>
      <w:divBdr>
        <w:top w:val="none" w:sz="0" w:space="0" w:color="auto"/>
        <w:left w:val="none" w:sz="0" w:space="0" w:color="auto"/>
        <w:bottom w:val="none" w:sz="0" w:space="0" w:color="auto"/>
        <w:right w:val="none" w:sz="0" w:space="0" w:color="auto"/>
      </w:divBdr>
    </w:div>
    <w:div w:id="196191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cu3300@n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1086</Words>
  <Characters>5976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uitiok Su</cp:lastModifiedBy>
  <cp:revision>8</cp:revision>
  <cp:lastPrinted>2020-06-24T04:44:00Z</cp:lastPrinted>
  <dcterms:created xsi:type="dcterms:W3CDTF">2020-08-07T10:04:00Z</dcterms:created>
  <dcterms:modified xsi:type="dcterms:W3CDTF">2020-09-14T09:24:00Z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