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16B0F" w14:textId="7E7300A9" w:rsidR="00061FF4" w:rsidRPr="00064EC4" w:rsidRDefault="00334DC5" w:rsidP="0018082A">
      <w:pPr>
        <w:spacing w:line="360" w:lineRule="auto"/>
        <w:ind w:right="-2"/>
        <w:jc w:val="center"/>
        <w:rPr>
          <w:b/>
          <w:u w:val="single"/>
        </w:rPr>
      </w:pPr>
      <w:proofErr w:type="spellStart"/>
      <w:r>
        <w:rPr>
          <w:b/>
          <w:u w:val="single"/>
        </w:rPr>
        <w:t>Brexit</w:t>
      </w:r>
      <w:proofErr w:type="spellEnd"/>
      <w:r>
        <w:rPr>
          <w:b/>
          <w:u w:val="single"/>
        </w:rPr>
        <w:t xml:space="preserve"> </w:t>
      </w:r>
      <w:proofErr w:type="spellStart"/>
      <w:r>
        <w:rPr>
          <w:b/>
          <w:u w:val="single"/>
        </w:rPr>
        <w:t>and</w:t>
      </w:r>
      <w:proofErr w:type="spellEnd"/>
      <w:r>
        <w:rPr>
          <w:b/>
          <w:u w:val="single"/>
        </w:rPr>
        <w:t xml:space="preserve"> State </w:t>
      </w:r>
      <w:proofErr w:type="spellStart"/>
      <w:r>
        <w:rPr>
          <w:b/>
          <w:u w:val="single"/>
        </w:rPr>
        <w:t>Aid</w:t>
      </w:r>
      <w:proofErr w:type="spellEnd"/>
      <w:r w:rsidR="001B46E7">
        <w:rPr>
          <w:b/>
          <w:u w:val="single"/>
        </w:rPr>
        <w:t xml:space="preserve"> </w:t>
      </w:r>
    </w:p>
    <w:p w14:paraId="5C52A522" w14:textId="77777777" w:rsidR="00446D22" w:rsidRPr="00064EC4" w:rsidRDefault="00446D22" w:rsidP="0018082A">
      <w:pPr>
        <w:spacing w:line="360" w:lineRule="auto"/>
        <w:ind w:right="-2"/>
        <w:jc w:val="center"/>
      </w:pPr>
    </w:p>
    <w:p w14:paraId="7176646A" w14:textId="527854FA" w:rsidR="005013BD" w:rsidRPr="00064EC4" w:rsidRDefault="003E1F8B" w:rsidP="0018082A">
      <w:pPr>
        <w:spacing w:line="360" w:lineRule="auto"/>
        <w:ind w:right="-2"/>
        <w:jc w:val="center"/>
        <w:rPr>
          <w:i/>
        </w:rPr>
      </w:pPr>
      <w:r w:rsidRPr="00064EC4">
        <w:rPr>
          <w:i/>
        </w:rPr>
        <w:t>P</w:t>
      </w:r>
      <w:r w:rsidR="00334DC5">
        <w:rPr>
          <w:i/>
        </w:rPr>
        <w:t>rof</w:t>
      </w:r>
      <w:r w:rsidR="004A48B6">
        <w:rPr>
          <w:i/>
        </w:rPr>
        <w:t>essor</w:t>
      </w:r>
      <w:r w:rsidRPr="00064EC4">
        <w:rPr>
          <w:i/>
        </w:rPr>
        <w:t xml:space="preserve"> </w:t>
      </w:r>
      <w:r w:rsidR="008505F0">
        <w:rPr>
          <w:i/>
        </w:rPr>
        <w:t xml:space="preserve">Dr. </w:t>
      </w:r>
      <w:r w:rsidR="00FA76C7" w:rsidRPr="00064EC4">
        <w:rPr>
          <w:i/>
        </w:rPr>
        <w:t xml:space="preserve">Bernhard </w:t>
      </w:r>
      <w:proofErr w:type="spellStart"/>
      <w:r w:rsidR="00FA76C7" w:rsidRPr="00064EC4">
        <w:rPr>
          <w:i/>
        </w:rPr>
        <w:t>Kre</w:t>
      </w:r>
      <w:r w:rsidRPr="00064EC4">
        <w:rPr>
          <w:i/>
        </w:rPr>
        <w:t>ß</w:t>
      </w:r>
      <w:r w:rsidR="00FA76C7" w:rsidRPr="00064EC4">
        <w:rPr>
          <w:i/>
        </w:rPr>
        <w:t>e</w:t>
      </w:r>
      <w:proofErr w:type="spellEnd"/>
      <w:r w:rsidR="00915041" w:rsidRPr="00064EC4">
        <w:rPr>
          <w:i/>
        </w:rPr>
        <w:t>, LL.M. (</w:t>
      </w:r>
      <w:r w:rsidR="00334DC5">
        <w:rPr>
          <w:i/>
        </w:rPr>
        <w:t>Cologne</w:t>
      </w:r>
      <w:r w:rsidR="00915041" w:rsidRPr="00064EC4">
        <w:rPr>
          <w:i/>
        </w:rPr>
        <w:t>/Paris),</w:t>
      </w:r>
    </w:p>
    <w:p w14:paraId="5E49AF92" w14:textId="65F71C42" w:rsidR="00FA76C7" w:rsidRPr="00064EC4" w:rsidRDefault="00915041" w:rsidP="0018082A">
      <w:pPr>
        <w:spacing w:line="360" w:lineRule="auto"/>
        <w:ind w:right="-2"/>
        <w:jc w:val="center"/>
        <w:rPr>
          <w:i/>
        </w:rPr>
      </w:pPr>
      <w:r w:rsidRPr="00064EC4">
        <w:rPr>
          <w:i/>
        </w:rPr>
        <w:t xml:space="preserve">Maître en </w:t>
      </w:r>
      <w:proofErr w:type="spellStart"/>
      <w:r w:rsidRPr="00064EC4">
        <w:rPr>
          <w:i/>
        </w:rPr>
        <w:t>droit</w:t>
      </w:r>
      <w:proofErr w:type="spellEnd"/>
      <w:r w:rsidRPr="00064EC4">
        <w:rPr>
          <w:i/>
        </w:rPr>
        <w:t xml:space="preserve"> (Paris I – </w:t>
      </w:r>
      <w:proofErr w:type="spellStart"/>
      <w:r w:rsidRPr="00064EC4">
        <w:rPr>
          <w:i/>
        </w:rPr>
        <w:t>Panthéon-Sorbonne</w:t>
      </w:r>
      <w:proofErr w:type="spellEnd"/>
      <w:r w:rsidRPr="00064EC4">
        <w:rPr>
          <w:i/>
        </w:rPr>
        <w:t>)</w:t>
      </w:r>
    </w:p>
    <w:p w14:paraId="4AF61F98" w14:textId="77777777" w:rsidR="003E1F8B" w:rsidRPr="00064EC4" w:rsidRDefault="003E1F8B" w:rsidP="0018082A">
      <w:pPr>
        <w:spacing w:line="360" w:lineRule="auto"/>
        <w:ind w:right="-2"/>
        <w:jc w:val="both"/>
        <w:rPr>
          <w:b/>
          <w:u w:val="single"/>
        </w:rPr>
      </w:pPr>
    </w:p>
    <w:p w14:paraId="6D48A9E4" w14:textId="77777777" w:rsidR="00915041" w:rsidRPr="00064EC4" w:rsidRDefault="00915041" w:rsidP="0018082A">
      <w:pPr>
        <w:spacing w:line="360" w:lineRule="auto"/>
        <w:ind w:right="-2"/>
        <w:jc w:val="both"/>
        <w:rPr>
          <w:b/>
          <w:u w:val="single"/>
        </w:rPr>
      </w:pPr>
    </w:p>
    <w:p w14:paraId="26E33525" w14:textId="45F4149A" w:rsidR="000850B7" w:rsidRDefault="00334DC5" w:rsidP="0018082A">
      <w:pPr>
        <w:spacing w:line="360" w:lineRule="auto"/>
        <w:ind w:right="-2"/>
        <w:jc w:val="both"/>
        <w:rPr>
          <w:lang w:val="en"/>
        </w:rPr>
      </w:pPr>
      <w:r>
        <w:rPr>
          <w:lang w:val="en"/>
        </w:rPr>
        <w:t>If no exit agreement is concluded between the United Kingdom and the EU, Art</w:t>
      </w:r>
      <w:r w:rsidR="00C01362">
        <w:rPr>
          <w:lang w:val="en"/>
        </w:rPr>
        <w:t>icles</w:t>
      </w:r>
      <w:r>
        <w:rPr>
          <w:lang w:val="en"/>
        </w:rPr>
        <w:t xml:space="preserve"> 107 et seq. of the TFEU and secondary legislation adopted on the basis of those provisions should no longer be directly applicable to the United Kingdom from March</w:t>
      </w:r>
      <w:r w:rsidR="00190DD3">
        <w:rPr>
          <w:lang w:val="en"/>
        </w:rPr>
        <w:t xml:space="preserve"> 29,</w:t>
      </w:r>
      <w:r>
        <w:rPr>
          <w:lang w:val="en"/>
        </w:rPr>
        <w:t xml:space="preserve"> 2019. The </w:t>
      </w:r>
      <w:r w:rsidR="00F017A5">
        <w:rPr>
          <w:lang w:val="en"/>
        </w:rPr>
        <w:t>D</w:t>
      </w:r>
      <w:r>
        <w:rPr>
          <w:lang w:val="en"/>
        </w:rPr>
        <w:t xml:space="preserve">raft </w:t>
      </w:r>
      <w:r w:rsidR="00F017A5">
        <w:rPr>
          <w:lang w:val="en"/>
        </w:rPr>
        <w:t>W</w:t>
      </w:r>
      <w:r>
        <w:rPr>
          <w:lang w:val="en"/>
        </w:rPr>
        <w:t>it</w:t>
      </w:r>
      <w:r>
        <w:rPr>
          <w:lang w:val="en"/>
        </w:rPr>
        <w:t>h</w:t>
      </w:r>
      <w:r w:rsidR="00190DD3">
        <w:rPr>
          <w:lang w:val="en"/>
        </w:rPr>
        <w:t xml:space="preserve">drawal </w:t>
      </w:r>
      <w:r w:rsidR="00F017A5">
        <w:rPr>
          <w:lang w:val="en"/>
        </w:rPr>
        <w:t>A</w:t>
      </w:r>
      <w:r w:rsidR="00190DD3">
        <w:rPr>
          <w:lang w:val="en"/>
        </w:rPr>
        <w:t xml:space="preserve">greement of </w:t>
      </w:r>
      <w:r>
        <w:rPr>
          <w:lang w:val="en"/>
        </w:rPr>
        <w:t>March</w:t>
      </w:r>
      <w:r w:rsidR="00190DD3">
        <w:rPr>
          <w:lang w:val="en"/>
        </w:rPr>
        <w:t xml:space="preserve"> 19,</w:t>
      </w:r>
      <w:r>
        <w:rPr>
          <w:lang w:val="en"/>
        </w:rPr>
        <w:t xml:space="preserve"> 2018</w:t>
      </w:r>
      <w:r w:rsidR="00190DD3">
        <w:rPr>
          <w:lang w:val="en"/>
        </w:rPr>
        <w:t>,</w:t>
      </w:r>
      <w:r w:rsidR="00190DD3">
        <w:rPr>
          <w:rStyle w:val="Funotenzeichen"/>
        </w:rPr>
        <w:footnoteReference w:id="1"/>
      </w:r>
      <w:r>
        <w:rPr>
          <w:lang w:val="en"/>
        </w:rPr>
        <w:t xml:space="preserve"> of course, provides for transitional arrangements, which will also be relevant in the context of aid issues. A special status is foreseen for Nort</w:t>
      </w:r>
      <w:r>
        <w:rPr>
          <w:lang w:val="en"/>
        </w:rPr>
        <w:t>h</w:t>
      </w:r>
      <w:r>
        <w:rPr>
          <w:lang w:val="en"/>
        </w:rPr>
        <w:t xml:space="preserve">ern Ireland; in this respect, European </w:t>
      </w:r>
      <w:r w:rsidR="00F955AA">
        <w:rPr>
          <w:lang w:val="en"/>
        </w:rPr>
        <w:t>S</w:t>
      </w:r>
      <w:r>
        <w:rPr>
          <w:lang w:val="en"/>
        </w:rPr>
        <w:t>tate aid law should generally continue to apply. The UK Gov</w:t>
      </w:r>
      <w:r w:rsidR="00BF3513">
        <w:rPr>
          <w:lang w:val="en"/>
        </w:rPr>
        <w:t>ernment White Paper</w:t>
      </w:r>
      <w:r w:rsidR="004A48B6">
        <w:rPr>
          <w:lang w:val="en"/>
        </w:rPr>
        <w:t xml:space="preserve"> “T</w:t>
      </w:r>
      <w:r>
        <w:rPr>
          <w:lang w:val="en"/>
        </w:rPr>
        <w:t>he Future Relationship between the United Kingdom and the European Union</w:t>
      </w:r>
      <w:r w:rsidR="00BF3513">
        <w:rPr>
          <w:lang w:val="en"/>
        </w:rPr>
        <w:t>”</w:t>
      </w:r>
      <w:r>
        <w:rPr>
          <w:lang w:val="en"/>
        </w:rPr>
        <w:t xml:space="preserve"> of July</w:t>
      </w:r>
      <w:r w:rsidR="00190DD3">
        <w:rPr>
          <w:lang w:val="en"/>
        </w:rPr>
        <w:t xml:space="preserve"> 17,</w:t>
      </w:r>
      <w:r>
        <w:rPr>
          <w:lang w:val="en"/>
        </w:rPr>
        <w:t xml:space="preserve"> 2018</w:t>
      </w:r>
      <w:r w:rsidR="00190DD3">
        <w:rPr>
          <w:lang w:val="en"/>
        </w:rPr>
        <w:t>,</w:t>
      </w:r>
      <w:r w:rsidR="00190DD3">
        <w:rPr>
          <w:rStyle w:val="Funotenzeichen"/>
        </w:rPr>
        <w:footnoteReference w:id="2"/>
      </w:r>
      <w:r>
        <w:rPr>
          <w:lang w:val="en"/>
        </w:rPr>
        <w:t xml:space="preserve"> also reveals the willingness of the UK Government to adopt a common </w:t>
      </w:r>
      <w:r w:rsidR="00F955AA">
        <w:rPr>
          <w:lang w:val="en"/>
        </w:rPr>
        <w:t>S</w:t>
      </w:r>
      <w:r>
        <w:rPr>
          <w:lang w:val="en"/>
        </w:rPr>
        <w:t>tate aid rule, which provides for the establishment of cooperation mech</w:t>
      </w:r>
      <w:r>
        <w:rPr>
          <w:lang w:val="en"/>
        </w:rPr>
        <w:t>a</w:t>
      </w:r>
      <w:r>
        <w:rPr>
          <w:lang w:val="en"/>
        </w:rPr>
        <w:t xml:space="preserve">nisms between regulatory authorities and – yet with certain thematic reservations – should be based on the current State aid rules. Following on from a brief overview of the basic structure of EU </w:t>
      </w:r>
      <w:r w:rsidR="00F955AA">
        <w:rPr>
          <w:lang w:val="en"/>
        </w:rPr>
        <w:t>S</w:t>
      </w:r>
      <w:r>
        <w:rPr>
          <w:lang w:val="en"/>
        </w:rPr>
        <w:t xml:space="preserve">tate aid control as far as it is relevant to the issue, the future legal situation without exit agreement will be presented first, before the </w:t>
      </w:r>
      <w:r w:rsidR="00F955AA">
        <w:rPr>
          <w:lang w:val="en"/>
        </w:rPr>
        <w:t>S</w:t>
      </w:r>
      <w:r w:rsidR="00190DD3">
        <w:rPr>
          <w:lang w:val="en"/>
        </w:rPr>
        <w:t xml:space="preserve">tate </w:t>
      </w:r>
      <w:r>
        <w:rPr>
          <w:lang w:val="en"/>
        </w:rPr>
        <w:t xml:space="preserve">aid effects of the </w:t>
      </w:r>
      <w:r w:rsidR="00190DD3">
        <w:rPr>
          <w:lang w:val="en"/>
        </w:rPr>
        <w:t>Br</w:t>
      </w:r>
      <w:r>
        <w:rPr>
          <w:lang w:val="en"/>
        </w:rPr>
        <w:t xml:space="preserve">exit will be </w:t>
      </w:r>
      <w:r w:rsidR="00190DD3">
        <w:rPr>
          <w:lang w:val="en"/>
        </w:rPr>
        <w:t>an</w:t>
      </w:r>
      <w:r w:rsidR="00190DD3">
        <w:rPr>
          <w:lang w:val="en"/>
        </w:rPr>
        <w:t>a</w:t>
      </w:r>
      <w:r w:rsidR="00190DD3">
        <w:rPr>
          <w:lang w:val="en"/>
        </w:rPr>
        <w:t xml:space="preserve">lyzed on the basis of </w:t>
      </w:r>
      <w:r>
        <w:rPr>
          <w:lang w:val="en"/>
        </w:rPr>
        <w:t>the draft agreement of March</w:t>
      </w:r>
      <w:r w:rsidR="00190DD3">
        <w:rPr>
          <w:lang w:val="en"/>
        </w:rPr>
        <w:t xml:space="preserve"> 19,</w:t>
      </w:r>
      <w:r>
        <w:rPr>
          <w:lang w:val="en"/>
        </w:rPr>
        <w:t xml:space="preserve"> 2018</w:t>
      </w:r>
      <w:r w:rsidR="00190DD3">
        <w:rPr>
          <w:lang w:val="en"/>
        </w:rPr>
        <w:t>,</w:t>
      </w:r>
      <w:r>
        <w:rPr>
          <w:lang w:val="en"/>
        </w:rPr>
        <w:t xml:space="preserve"> and the </w:t>
      </w:r>
      <w:r w:rsidR="00B35B92">
        <w:rPr>
          <w:lang w:val="en"/>
        </w:rPr>
        <w:t>j</w:t>
      </w:r>
      <w:r>
        <w:rPr>
          <w:lang w:val="en"/>
        </w:rPr>
        <w:t xml:space="preserve">oint </w:t>
      </w:r>
      <w:r w:rsidR="00B35B92">
        <w:rPr>
          <w:lang w:val="en"/>
        </w:rPr>
        <w:t>s</w:t>
      </w:r>
      <w:r>
        <w:rPr>
          <w:lang w:val="en"/>
        </w:rPr>
        <w:t>tatement</w:t>
      </w:r>
      <w:r w:rsidR="00190DD3">
        <w:rPr>
          <w:lang w:val="en"/>
        </w:rPr>
        <w:t xml:space="preserve"> </w:t>
      </w:r>
      <w:r w:rsidR="00B35B92">
        <w:rPr>
          <w:lang w:val="en"/>
        </w:rPr>
        <w:t>from</w:t>
      </w:r>
      <w:r>
        <w:rPr>
          <w:lang w:val="en"/>
        </w:rPr>
        <w:t xml:space="preserve"> the negotiators of the EU and the United Kingdom Government of June</w:t>
      </w:r>
      <w:r w:rsidR="00190DD3">
        <w:rPr>
          <w:lang w:val="en"/>
        </w:rPr>
        <w:t xml:space="preserve"> 19,</w:t>
      </w:r>
      <w:r>
        <w:rPr>
          <w:lang w:val="en"/>
        </w:rPr>
        <w:t xml:space="preserve"> 2018</w:t>
      </w:r>
      <w:r w:rsidR="00190DD3">
        <w:rPr>
          <w:lang w:val="en"/>
        </w:rPr>
        <w:t>,</w:t>
      </w:r>
      <w:r w:rsidR="00B35B92">
        <w:rPr>
          <w:lang w:val="en"/>
        </w:rPr>
        <w:t xml:space="preserve"> on </w:t>
      </w:r>
      <w:r>
        <w:rPr>
          <w:lang w:val="en"/>
        </w:rPr>
        <w:t>progress of the negotiations</w:t>
      </w:r>
      <w:r w:rsidR="00B35B92">
        <w:rPr>
          <w:rStyle w:val="Funotenzeichen"/>
        </w:rPr>
        <w:footnoteReference w:id="3"/>
      </w:r>
      <w:r>
        <w:rPr>
          <w:lang w:val="en"/>
        </w:rPr>
        <w:t>.</w:t>
      </w:r>
    </w:p>
    <w:p w14:paraId="0DCDC0B6" w14:textId="77777777" w:rsidR="00334DC5" w:rsidRPr="00064EC4" w:rsidRDefault="00334DC5" w:rsidP="0018082A">
      <w:pPr>
        <w:spacing w:line="360" w:lineRule="auto"/>
        <w:ind w:right="-2"/>
        <w:jc w:val="both"/>
      </w:pPr>
    </w:p>
    <w:p w14:paraId="6A0C1B1A" w14:textId="3EF51C04" w:rsidR="00E01E9C" w:rsidRPr="00064EC4" w:rsidRDefault="00B572C4" w:rsidP="0018082A">
      <w:pPr>
        <w:spacing w:line="360" w:lineRule="auto"/>
        <w:ind w:right="-2"/>
        <w:jc w:val="both"/>
        <w:rPr>
          <w:b/>
        </w:rPr>
      </w:pPr>
      <w:r w:rsidRPr="00064EC4">
        <w:rPr>
          <w:b/>
        </w:rPr>
        <w:t xml:space="preserve">I. </w:t>
      </w:r>
      <w:r w:rsidR="00190DD3" w:rsidRPr="00190DD3">
        <w:rPr>
          <w:b/>
          <w:lang w:val="en"/>
        </w:rPr>
        <w:t xml:space="preserve">Basic </w:t>
      </w:r>
      <w:r w:rsidR="00190DD3">
        <w:rPr>
          <w:b/>
          <w:lang w:val="en"/>
        </w:rPr>
        <w:t>S</w:t>
      </w:r>
      <w:r w:rsidR="00190DD3" w:rsidRPr="00190DD3">
        <w:rPr>
          <w:b/>
          <w:lang w:val="en"/>
        </w:rPr>
        <w:t xml:space="preserve">tructure and </w:t>
      </w:r>
      <w:r w:rsidR="00190DD3">
        <w:rPr>
          <w:b/>
          <w:lang w:val="en"/>
        </w:rPr>
        <w:t>T</w:t>
      </w:r>
      <w:r w:rsidR="00190DD3" w:rsidRPr="00190DD3">
        <w:rPr>
          <w:b/>
          <w:lang w:val="en"/>
        </w:rPr>
        <w:t xml:space="preserve">erritorial </w:t>
      </w:r>
      <w:r w:rsidR="00190DD3">
        <w:rPr>
          <w:b/>
          <w:lang w:val="en"/>
        </w:rPr>
        <w:t>S</w:t>
      </w:r>
      <w:r w:rsidR="00190DD3" w:rsidRPr="00190DD3">
        <w:rPr>
          <w:b/>
          <w:lang w:val="en"/>
        </w:rPr>
        <w:t xml:space="preserve">cope of EU </w:t>
      </w:r>
      <w:r w:rsidR="00190DD3">
        <w:rPr>
          <w:b/>
          <w:lang w:val="en"/>
        </w:rPr>
        <w:t>S</w:t>
      </w:r>
      <w:r w:rsidR="00190DD3" w:rsidRPr="00190DD3">
        <w:rPr>
          <w:b/>
          <w:lang w:val="en"/>
        </w:rPr>
        <w:t xml:space="preserve">tate </w:t>
      </w:r>
      <w:r w:rsidR="00190DD3">
        <w:rPr>
          <w:b/>
          <w:lang w:val="en"/>
        </w:rPr>
        <w:t>A</w:t>
      </w:r>
      <w:r w:rsidR="00190DD3" w:rsidRPr="00190DD3">
        <w:rPr>
          <w:b/>
          <w:lang w:val="en"/>
        </w:rPr>
        <w:t xml:space="preserve">id </w:t>
      </w:r>
      <w:r w:rsidR="00190DD3">
        <w:rPr>
          <w:b/>
          <w:lang w:val="en"/>
        </w:rPr>
        <w:t>C</w:t>
      </w:r>
      <w:r w:rsidR="00190DD3" w:rsidRPr="00190DD3">
        <w:rPr>
          <w:b/>
          <w:lang w:val="en"/>
        </w:rPr>
        <w:t>ontrol</w:t>
      </w:r>
    </w:p>
    <w:p w14:paraId="536AD0B6" w14:textId="77777777" w:rsidR="00B572C4" w:rsidRPr="00064EC4" w:rsidRDefault="00B572C4" w:rsidP="0018082A">
      <w:pPr>
        <w:spacing w:line="360" w:lineRule="auto"/>
        <w:ind w:right="-2"/>
        <w:jc w:val="both"/>
      </w:pPr>
    </w:p>
    <w:p w14:paraId="5A6921AB" w14:textId="6D0F3F49" w:rsidR="00F43247" w:rsidRPr="00064EC4" w:rsidRDefault="00F43247" w:rsidP="0018082A">
      <w:pPr>
        <w:spacing w:line="360" w:lineRule="auto"/>
        <w:ind w:right="-2"/>
        <w:jc w:val="both"/>
        <w:rPr>
          <w:b/>
        </w:rPr>
      </w:pPr>
      <w:r w:rsidRPr="00064EC4">
        <w:rPr>
          <w:b/>
        </w:rPr>
        <w:t xml:space="preserve">1. </w:t>
      </w:r>
      <w:r w:rsidR="00190DD3">
        <w:rPr>
          <w:b/>
        </w:rPr>
        <w:t xml:space="preserve">State </w:t>
      </w:r>
      <w:proofErr w:type="spellStart"/>
      <w:r w:rsidR="00190DD3">
        <w:rPr>
          <w:b/>
        </w:rPr>
        <w:t>Aid</w:t>
      </w:r>
      <w:proofErr w:type="spellEnd"/>
      <w:r w:rsidR="00190DD3">
        <w:rPr>
          <w:b/>
        </w:rPr>
        <w:t xml:space="preserve"> Control </w:t>
      </w:r>
      <w:proofErr w:type="spellStart"/>
      <w:r w:rsidR="00190DD3">
        <w:rPr>
          <w:b/>
        </w:rPr>
        <w:t>of</w:t>
      </w:r>
      <w:proofErr w:type="spellEnd"/>
      <w:r w:rsidR="00190DD3">
        <w:rPr>
          <w:b/>
        </w:rPr>
        <w:t xml:space="preserve"> </w:t>
      </w:r>
      <w:proofErr w:type="spellStart"/>
      <w:r w:rsidR="00190DD3">
        <w:rPr>
          <w:b/>
        </w:rPr>
        <w:t>the</w:t>
      </w:r>
      <w:proofErr w:type="spellEnd"/>
      <w:r w:rsidR="00190DD3">
        <w:rPr>
          <w:b/>
        </w:rPr>
        <w:t xml:space="preserve"> European </w:t>
      </w:r>
      <w:proofErr w:type="spellStart"/>
      <w:r w:rsidR="00190DD3">
        <w:rPr>
          <w:b/>
        </w:rPr>
        <w:t>Commission</w:t>
      </w:r>
      <w:proofErr w:type="spellEnd"/>
    </w:p>
    <w:p w14:paraId="0E3D7850" w14:textId="77777777" w:rsidR="00F43247" w:rsidRPr="00064EC4" w:rsidRDefault="00F43247" w:rsidP="0018082A">
      <w:pPr>
        <w:spacing w:line="360" w:lineRule="auto"/>
        <w:ind w:right="-2"/>
        <w:jc w:val="both"/>
      </w:pPr>
    </w:p>
    <w:p w14:paraId="48E84697" w14:textId="56B0CE4A" w:rsidR="0035436C" w:rsidRDefault="00C01362" w:rsidP="0018082A">
      <w:pPr>
        <w:spacing w:line="360" w:lineRule="auto"/>
        <w:ind w:right="-2"/>
        <w:jc w:val="both"/>
        <w:rPr>
          <w:lang w:val="en"/>
        </w:rPr>
      </w:pPr>
      <w:r>
        <w:rPr>
          <w:lang w:val="en"/>
        </w:rPr>
        <w:lastRenderedPageBreak/>
        <w:t>Article 107 (1) TFEU sets up a principle of non-aid</w:t>
      </w:r>
      <w:r w:rsidR="00BE11A4" w:rsidRPr="00064EC4">
        <w:rPr>
          <w:rStyle w:val="Funotenzeichen"/>
        </w:rPr>
        <w:footnoteReference w:id="4"/>
      </w:r>
      <w:r>
        <w:rPr>
          <w:lang w:val="en"/>
        </w:rPr>
        <w:t xml:space="preserve">, but does not exclude that certain types of aid may be declared compatible with the internal market under certain conditions </w:t>
      </w:r>
      <w:r w:rsidR="00F955AA">
        <w:rPr>
          <w:lang w:val="en"/>
        </w:rPr>
        <w:t>resulting mainly from</w:t>
      </w:r>
      <w:r>
        <w:rPr>
          <w:lang w:val="en"/>
        </w:rPr>
        <w:t xml:space="preserve"> Article 107 (2) and (3) </w:t>
      </w:r>
      <w:r w:rsidR="00F955AA">
        <w:rPr>
          <w:lang w:val="en"/>
        </w:rPr>
        <w:t>as well as from</w:t>
      </w:r>
      <w:r>
        <w:rPr>
          <w:lang w:val="en"/>
        </w:rPr>
        <w:t xml:space="preserve"> Article 106 (2) TFEU. The prohibition of </w:t>
      </w:r>
      <w:r w:rsidR="00F955AA">
        <w:rPr>
          <w:lang w:val="en"/>
        </w:rPr>
        <w:t>S</w:t>
      </w:r>
      <w:r>
        <w:rPr>
          <w:lang w:val="en"/>
        </w:rPr>
        <w:t>tate aid is therefore neither absolute nor unconditional, but leaves State aid to strict superv</w:t>
      </w:r>
      <w:r>
        <w:rPr>
          <w:lang w:val="en"/>
        </w:rPr>
        <w:t>i</w:t>
      </w:r>
      <w:r>
        <w:rPr>
          <w:lang w:val="en"/>
        </w:rPr>
        <w:t>sion by the European Commission.</w:t>
      </w:r>
      <w:r w:rsidR="00BE11A4" w:rsidRPr="00064EC4">
        <w:rPr>
          <w:rStyle w:val="Funotenzeichen"/>
        </w:rPr>
        <w:footnoteReference w:id="5"/>
      </w:r>
      <w:r>
        <w:rPr>
          <w:lang w:val="en"/>
        </w:rPr>
        <w:t xml:space="preserve"> In order to prevent incompatible aid being granted even for a short period of time and thus distorting competition, the Member States are required to grant the proposed aid in accordance with the formal requirements of </w:t>
      </w:r>
      <w:r w:rsidR="0039352D">
        <w:rPr>
          <w:lang w:val="en"/>
        </w:rPr>
        <w:t xml:space="preserve">Article 108 (3) </w:t>
      </w:r>
      <w:r>
        <w:rPr>
          <w:lang w:val="en"/>
        </w:rPr>
        <w:t xml:space="preserve">TFEU and Article 2 (1) of Council Regulation </w:t>
      </w:r>
      <w:r w:rsidR="0039352D">
        <w:rPr>
          <w:lang w:val="en"/>
        </w:rPr>
        <w:t>(EU) 2015/1589</w:t>
      </w:r>
      <w:r w:rsidR="00BE11A4" w:rsidRPr="00064EC4">
        <w:rPr>
          <w:rStyle w:val="Funotenzeichen"/>
        </w:rPr>
        <w:footnoteReference w:id="6"/>
      </w:r>
      <w:r w:rsidR="00BE11A4">
        <w:rPr>
          <w:lang w:val="en"/>
        </w:rPr>
        <w:t xml:space="preserve"> (later referred to as Reg. 2015/1589)</w:t>
      </w:r>
      <w:r w:rsidR="0039352D">
        <w:rPr>
          <w:lang w:val="en"/>
        </w:rPr>
        <w:t xml:space="preserve"> </w:t>
      </w:r>
      <w:r>
        <w:rPr>
          <w:lang w:val="en"/>
        </w:rPr>
        <w:t>only</w:t>
      </w:r>
      <w:r w:rsidR="0039352D">
        <w:rPr>
          <w:lang w:val="en"/>
        </w:rPr>
        <w:t xml:space="preserve">. Thus, in principle, </w:t>
      </w:r>
      <w:r w:rsidR="00F955AA">
        <w:rPr>
          <w:lang w:val="en"/>
        </w:rPr>
        <w:t>S</w:t>
      </w:r>
      <w:r w:rsidR="0039352D">
        <w:rPr>
          <w:lang w:val="en"/>
        </w:rPr>
        <w:t xml:space="preserve">tate aid has to be notified to the Commission </w:t>
      </w:r>
      <w:r>
        <w:rPr>
          <w:lang w:val="en"/>
        </w:rPr>
        <w:t xml:space="preserve">prior to its </w:t>
      </w:r>
      <w:r w:rsidR="0039352D">
        <w:rPr>
          <w:lang w:val="en"/>
        </w:rPr>
        <w:t>impleme</w:t>
      </w:r>
      <w:r w:rsidR="0039352D">
        <w:rPr>
          <w:lang w:val="en"/>
        </w:rPr>
        <w:t>n</w:t>
      </w:r>
      <w:r w:rsidR="0039352D">
        <w:rPr>
          <w:lang w:val="en"/>
        </w:rPr>
        <w:t>tation and must not be put into effect before the Commission has adopted a final decision on the matter. Pending notification and the Commission decision, Article 108 (3) and Article 3 of Reg</w:t>
      </w:r>
      <w:r w:rsidR="00BE11A4">
        <w:rPr>
          <w:lang w:val="en"/>
        </w:rPr>
        <w:t>.</w:t>
      </w:r>
      <w:r w:rsidR="0039352D">
        <w:rPr>
          <w:lang w:val="en"/>
        </w:rPr>
        <w:t xml:space="preserve"> 2015/1589 set out a strict prohibition on </w:t>
      </w:r>
      <w:r>
        <w:rPr>
          <w:lang w:val="en"/>
        </w:rPr>
        <w:t>implement</w:t>
      </w:r>
      <w:r w:rsidR="0039352D">
        <w:rPr>
          <w:lang w:val="en"/>
        </w:rPr>
        <w:t>ation</w:t>
      </w:r>
      <w:r>
        <w:rPr>
          <w:lang w:val="en"/>
        </w:rPr>
        <w:t xml:space="preserve"> measure. If aid is granted b</w:t>
      </w:r>
      <w:r>
        <w:rPr>
          <w:lang w:val="en"/>
        </w:rPr>
        <w:t>e</w:t>
      </w:r>
      <w:r>
        <w:rPr>
          <w:lang w:val="en"/>
        </w:rPr>
        <w:t xml:space="preserve">fore the adoption of </w:t>
      </w:r>
      <w:r w:rsidR="0039352D">
        <w:rPr>
          <w:lang w:val="en"/>
        </w:rPr>
        <w:t>the</w:t>
      </w:r>
      <w:r>
        <w:rPr>
          <w:lang w:val="en"/>
        </w:rPr>
        <w:t xml:space="preserve"> Commission</w:t>
      </w:r>
      <w:r w:rsidR="0039352D">
        <w:rPr>
          <w:lang w:val="en"/>
        </w:rPr>
        <w:t>’s</w:t>
      </w:r>
      <w:r>
        <w:rPr>
          <w:lang w:val="en"/>
        </w:rPr>
        <w:t xml:space="preserve"> approval decision, it is (formally) unlawful</w:t>
      </w:r>
      <w:r w:rsidR="0039352D">
        <w:rPr>
          <w:lang w:val="en"/>
        </w:rPr>
        <w:t xml:space="preserve"> in spite of its substantial approval by the Commission at the end of the investigation procedure and its </w:t>
      </w:r>
      <w:r>
        <w:rPr>
          <w:lang w:val="en"/>
        </w:rPr>
        <w:t>compatib</w:t>
      </w:r>
      <w:r w:rsidR="0039352D">
        <w:rPr>
          <w:lang w:val="en"/>
        </w:rPr>
        <w:t>ility</w:t>
      </w:r>
      <w:r>
        <w:rPr>
          <w:lang w:val="en"/>
        </w:rPr>
        <w:t xml:space="preserve"> with the internal market.</w:t>
      </w:r>
      <w:r w:rsidR="00BE11A4" w:rsidRPr="00064EC4">
        <w:rPr>
          <w:rStyle w:val="Funotenzeichen"/>
        </w:rPr>
        <w:footnoteReference w:id="7"/>
      </w:r>
    </w:p>
    <w:p w14:paraId="1D2DFEFA" w14:textId="77777777" w:rsidR="00C01362" w:rsidRPr="00064EC4" w:rsidRDefault="00C01362" w:rsidP="0018082A">
      <w:pPr>
        <w:spacing w:line="360" w:lineRule="auto"/>
        <w:ind w:right="-2"/>
        <w:jc w:val="both"/>
      </w:pPr>
    </w:p>
    <w:p w14:paraId="11E8EDA5" w14:textId="3AA8946C" w:rsidR="0035436C" w:rsidRPr="00064EC4" w:rsidRDefault="007F0815" w:rsidP="0018082A">
      <w:pPr>
        <w:spacing w:line="360" w:lineRule="auto"/>
        <w:ind w:right="-2"/>
        <w:jc w:val="both"/>
        <w:rPr>
          <w:b/>
        </w:rPr>
      </w:pPr>
      <w:r w:rsidRPr="00064EC4">
        <w:rPr>
          <w:b/>
        </w:rPr>
        <w:t xml:space="preserve">2. </w:t>
      </w:r>
      <w:r w:rsidR="00C66BAD">
        <w:rPr>
          <w:b/>
        </w:rPr>
        <w:t xml:space="preserve">Private Law </w:t>
      </w:r>
      <w:proofErr w:type="spellStart"/>
      <w:r w:rsidR="00C66BAD">
        <w:rPr>
          <w:b/>
        </w:rPr>
        <w:t>Enforcement</w:t>
      </w:r>
      <w:proofErr w:type="spellEnd"/>
    </w:p>
    <w:p w14:paraId="3CE73FC0" w14:textId="77777777" w:rsidR="007F0815" w:rsidRPr="00064EC4" w:rsidRDefault="007F0815" w:rsidP="0018082A">
      <w:pPr>
        <w:spacing w:line="360" w:lineRule="auto"/>
        <w:ind w:right="-2"/>
        <w:jc w:val="both"/>
      </w:pPr>
    </w:p>
    <w:p w14:paraId="59AF89D2" w14:textId="7D765040" w:rsidR="00EF0F4B" w:rsidRDefault="001C733D" w:rsidP="0018082A">
      <w:pPr>
        <w:spacing w:line="360" w:lineRule="auto"/>
        <w:ind w:right="-2"/>
        <w:jc w:val="both"/>
        <w:rPr>
          <w:lang w:val="en"/>
        </w:rPr>
      </w:pPr>
      <w:r>
        <w:rPr>
          <w:lang w:val="en"/>
        </w:rPr>
        <w:t>It is only under very strict conditions that the Commission, pursuant to Article 13 (2) of Reg. 2015/1589, can order an interim recovery of the aid during the investigation procedure. The "neutralization of the aid advantage"</w:t>
      </w:r>
      <w:r w:rsidR="008E3155" w:rsidRPr="00064EC4">
        <w:rPr>
          <w:rStyle w:val="Funotenzeichen"/>
        </w:rPr>
        <w:footnoteReference w:id="8"/>
      </w:r>
      <w:r>
        <w:rPr>
          <w:lang w:val="en"/>
        </w:rPr>
        <w:t xml:space="preserve"> before the Commission's final decision can therefore normally only be achieved by competitors of the aid beneficiary initiating their own procee</w:t>
      </w:r>
      <w:r>
        <w:rPr>
          <w:lang w:val="en"/>
        </w:rPr>
        <w:t>d</w:t>
      </w:r>
      <w:r>
        <w:rPr>
          <w:lang w:val="en"/>
        </w:rPr>
        <w:t>ings before the national courts and, in particular, obtaining a preliminary injunction. If a n</w:t>
      </w:r>
      <w:r>
        <w:rPr>
          <w:lang w:val="en"/>
        </w:rPr>
        <w:t>a</w:t>
      </w:r>
      <w:r>
        <w:rPr>
          <w:lang w:val="en"/>
        </w:rPr>
        <w:t xml:space="preserve">tional court is seized for unlawful aid, it is obliged under EU law to draw all </w:t>
      </w:r>
      <w:r w:rsidR="00EF0F4B">
        <w:rPr>
          <w:lang w:val="en"/>
        </w:rPr>
        <w:t xml:space="preserve">the appropriate </w:t>
      </w:r>
      <w:r w:rsidR="00EF0F4B">
        <w:rPr>
          <w:lang w:val="en"/>
        </w:rPr>
        <w:lastRenderedPageBreak/>
        <w:t>conclusion</w:t>
      </w:r>
      <w:r w:rsidR="00304252">
        <w:rPr>
          <w:lang w:val="en"/>
        </w:rPr>
        <w:t>s</w:t>
      </w:r>
      <w:r>
        <w:rPr>
          <w:lang w:val="en"/>
        </w:rPr>
        <w:t xml:space="preserve"> from the unlawfulness of the aid, </w:t>
      </w:r>
      <w:r w:rsidR="00EF0F4B">
        <w:rPr>
          <w:lang w:val="en"/>
        </w:rPr>
        <w:t>in accordance with the</w:t>
      </w:r>
      <w:r>
        <w:rPr>
          <w:lang w:val="en"/>
        </w:rPr>
        <w:t xml:space="preserve"> national law.</w:t>
      </w:r>
      <w:r w:rsidR="00F955AA" w:rsidRPr="00064EC4">
        <w:rPr>
          <w:rStyle w:val="Funotenzeichen"/>
        </w:rPr>
        <w:footnoteReference w:id="9"/>
      </w:r>
      <w:r>
        <w:rPr>
          <w:lang w:val="en"/>
        </w:rPr>
        <w:t xml:space="preserve"> In partic</w:t>
      </w:r>
      <w:r>
        <w:rPr>
          <w:lang w:val="en"/>
        </w:rPr>
        <w:t>u</w:t>
      </w:r>
      <w:r>
        <w:rPr>
          <w:lang w:val="en"/>
        </w:rPr>
        <w:t xml:space="preserve">lar, </w:t>
      </w:r>
      <w:r w:rsidR="00EF0F4B">
        <w:rPr>
          <w:lang w:val="en"/>
        </w:rPr>
        <w:t xml:space="preserve">as a rule, </w:t>
      </w:r>
      <w:r>
        <w:rPr>
          <w:lang w:val="en"/>
        </w:rPr>
        <w:t>it must order the full recovery of the unlawful aid from the beneficiary</w:t>
      </w:r>
      <w:r w:rsidR="00F955AA" w:rsidRPr="00064EC4">
        <w:rPr>
          <w:rStyle w:val="Funotenzeichen"/>
        </w:rPr>
        <w:footnoteReference w:id="10"/>
      </w:r>
      <w:r>
        <w:rPr>
          <w:lang w:val="en"/>
        </w:rPr>
        <w:t xml:space="preserve">, </w:t>
      </w:r>
      <w:r w:rsidR="00EF0F4B">
        <w:rPr>
          <w:lang w:val="en"/>
        </w:rPr>
        <w:t>wit</w:t>
      </w:r>
      <w:r w:rsidR="00EF0F4B">
        <w:rPr>
          <w:lang w:val="en"/>
        </w:rPr>
        <w:t>h</w:t>
      </w:r>
      <w:r w:rsidR="00EF0F4B">
        <w:rPr>
          <w:lang w:val="en"/>
        </w:rPr>
        <w:t xml:space="preserve">out </w:t>
      </w:r>
      <w:r w:rsidR="00F955AA">
        <w:rPr>
          <w:lang w:val="en"/>
        </w:rPr>
        <w:t>hav</w:t>
      </w:r>
      <w:r w:rsidR="00EF0F4B">
        <w:rPr>
          <w:lang w:val="en"/>
        </w:rPr>
        <w:t xml:space="preserve">ing regard to the question </w:t>
      </w:r>
      <w:r>
        <w:rPr>
          <w:lang w:val="en"/>
        </w:rPr>
        <w:t>whether the aid is compatible with the internal market</w:t>
      </w:r>
      <w:r w:rsidR="00EF0F4B">
        <w:rPr>
          <w:lang w:val="en"/>
        </w:rPr>
        <w:t>, as this assessment</w:t>
      </w:r>
      <w:r>
        <w:rPr>
          <w:lang w:val="en"/>
        </w:rPr>
        <w:t xml:space="preserve"> falls within the exclusive competence of the Commission</w:t>
      </w:r>
      <w:r w:rsidR="006D787A" w:rsidRPr="00064EC4">
        <w:rPr>
          <w:rStyle w:val="Funotenzeichen"/>
        </w:rPr>
        <w:footnoteReference w:id="11"/>
      </w:r>
      <w:r>
        <w:rPr>
          <w:lang w:val="en"/>
        </w:rPr>
        <w:t xml:space="preserve">. </w:t>
      </w:r>
      <w:r w:rsidR="00EF0F4B">
        <w:rPr>
          <w:lang w:val="en"/>
        </w:rPr>
        <w:t xml:space="preserve">In addition, </w:t>
      </w:r>
      <w:r w:rsidR="00F955AA">
        <w:rPr>
          <w:lang w:val="en"/>
        </w:rPr>
        <w:t>S</w:t>
      </w:r>
      <w:r w:rsidR="00EF0F4B">
        <w:rPr>
          <w:lang w:val="en"/>
        </w:rPr>
        <w:t>tate liability could be incurred or other compensation claims or interim measures should be co</w:t>
      </w:r>
      <w:r w:rsidR="00EF0F4B">
        <w:rPr>
          <w:lang w:val="en"/>
        </w:rPr>
        <w:t>n</w:t>
      </w:r>
      <w:r w:rsidR="00EF0F4B">
        <w:rPr>
          <w:lang w:val="en"/>
        </w:rPr>
        <w:t>sidered</w:t>
      </w:r>
      <w:r w:rsidR="006D787A" w:rsidRPr="00064EC4">
        <w:rPr>
          <w:rStyle w:val="Funotenzeichen"/>
        </w:rPr>
        <w:footnoteReference w:id="12"/>
      </w:r>
      <w:r w:rsidR="00EF0F4B">
        <w:rPr>
          <w:lang w:val="en"/>
        </w:rPr>
        <w:t>, as</w:t>
      </w:r>
      <w:r>
        <w:rPr>
          <w:lang w:val="en"/>
        </w:rPr>
        <w:t xml:space="preserve"> Art</w:t>
      </w:r>
      <w:r w:rsidR="00EF0F4B">
        <w:rPr>
          <w:lang w:val="en"/>
        </w:rPr>
        <w:t>icle</w:t>
      </w:r>
      <w:r>
        <w:rPr>
          <w:lang w:val="en"/>
        </w:rPr>
        <w:t xml:space="preserve"> 108 (3) TFEU</w:t>
      </w:r>
      <w:r w:rsidR="00EF0F4B">
        <w:rPr>
          <w:lang w:val="en"/>
        </w:rPr>
        <w:t xml:space="preserve"> is directly applicable</w:t>
      </w:r>
      <w:r w:rsidR="006476E0" w:rsidRPr="00064EC4">
        <w:rPr>
          <w:rStyle w:val="Funotenzeichen"/>
        </w:rPr>
        <w:footnoteReference w:id="13"/>
      </w:r>
      <w:r>
        <w:rPr>
          <w:lang w:val="en"/>
        </w:rPr>
        <w:t>. Private law enforcement</w:t>
      </w:r>
      <w:r w:rsidR="00EF0F4B">
        <w:rPr>
          <w:lang w:val="en"/>
        </w:rPr>
        <w:t xml:space="preserve"> thus</w:t>
      </w:r>
      <w:r>
        <w:rPr>
          <w:lang w:val="en"/>
        </w:rPr>
        <w:t xml:space="preserve"> fu</w:t>
      </w:r>
      <w:r>
        <w:rPr>
          <w:lang w:val="en"/>
        </w:rPr>
        <w:t>l</w:t>
      </w:r>
      <w:r>
        <w:rPr>
          <w:lang w:val="en"/>
        </w:rPr>
        <w:t xml:space="preserve">fills a central function in the field of </w:t>
      </w:r>
      <w:r w:rsidR="00F955AA">
        <w:rPr>
          <w:lang w:val="en"/>
        </w:rPr>
        <w:t>S</w:t>
      </w:r>
      <w:r w:rsidR="00EF0F4B">
        <w:rPr>
          <w:lang w:val="en"/>
        </w:rPr>
        <w:t>tate aid</w:t>
      </w:r>
      <w:r>
        <w:rPr>
          <w:lang w:val="en"/>
        </w:rPr>
        <w:t xml:space="preserve"> law.</w:t>
      </w:r>
      <w:r w:rsidR="006476E0" w:rsidRPr="00064EC4">
        <w:rPr>
          <w:rStyle w:val="Funotenzeichen"/>
        </w:rPr>
        <w:footnoteReference w:id="14"/>
      </w:r>
    </w:p>
    <w:p w14:paraId="39B33A52" w14:textId="77777777" w:rsidR="00EF0F4B" w:rsidRDefault="00EF0F4B" w:rsidP="0018082A">
      <w:pPr>
        <w:spacing w:line="360" w:lineRule="auto"/>
        <w:ind w:right="-2"/>
        <w:jc w:val="both"/>
        <w:rPr>
          <w:lang w:val="en"/>
        </w:rPr>
      </w:pPr>
    </w:p>
    <w:p w14:paraId="2C090CD2" w14:textId="0A1E8DE6" w:rsidR="00025204" w:rsidRDefault="001C733D" w:rsidP="0018082A">
      <w:pPr>
        <w:spacing w:line="360" w:lineRule="auto"/>
        <w:ind w:right="-2"/>
        <w:jc w:val="both"/>
      </w:pPr>
      <w:r>
        <w:rPr>
          <w:lang w:val="en"/>
        </w:rPr>
        <w:t xml:space="preserve">Moreover, the principles of </w:t>
      </w:r>
      <w:proofErr w:type="spellStart"/>
      <w:r>
        <w:rPr>
          <w:lang w:val="en"/>
        </w:rPr>
        <w:t>effet</w:t>
      </w:r>
      <w:proofErr w:type="spellEnd"/>
      <w:r>
        <w:rPr>
          <w:lang w:val="en"/>
        </w:rPr>
        <w:t xml:space="preserve"> utile and the duty of sincere cooperation under Article 4 (3) TEU also state </w:t>
      </w:r>
      <w:r w:rsidR="0095187E">
        <w:rPr>
          <w:lang w:val="en"/>
        </w:rPr>
        <w:t xml:space="preserve">in the field of State aid </w:t>
      </w:r>
      <w:r>
        <w:rPr>
          <w:lang w:val="en"/>
        </w:rPr>
        <w:t>that decisions of national courts must n</w:t>
      </w:r>
      <w:r w:rsidR="00EF0F4B">
        <w:rPr>
          <w:lang w:val="en"/>
        </w:rPr>
        <w:t>ever</w:t>
      </w:r>
      <w:r>
        <w:rPr>
          <w:lang w:val="en"/>
        </w:rPr>
        <w:t xml:space="preserve"> be in co</w:t>
      </w:r>
      <w:r>
        <w:rPr>
          <w:lang w:val="en"/>
        </w:rPr>
        <w:t>n</w:t>
      </w:r>
      <w:r>
        <w:rPr>
          <w:lang w:val="en"/>
        </w:rPr>
        <w:t xml:space="preserve">flict with a Commission decision, even if </w:t>
      </w:r>
      <w:r w:rsidR="00EF0F4B">
        <w:rPr>
          <w:lang w:val="en"/>
        </w:rPr>
        <w:t>the latter</w:t>
      </w:r>
      <w:r>
        <w:rPr>
          <w:lang w:val="en"/>
        </w:rPr>
        <w:t xml:space="preserve"> is only provisional</w:t>
      </w:r>
      <w:r w:rsidR="00EF0F4B">
        <w:rPr>
          <w:lang w:val="en"/>
        </w:rPr>
        <w:t>.</w:t>
      </w:r>
      <w:r>
        <w:rPr>
          <w:lang w:val="en"/>
        </w:rPr>
        <w:t xml:space="preserve"> Accordingly, a natio</w:t>
      </w:r>
      <w:r>
        <w:rPr>
          <w:lang w:val="en"/>
        </w:rPr>
        <w:t>n</w:t>
      </w:r>
      <w:r>
        <w:rPr>
          <w:lang w:val="en"/>
        </w:rPr>
        <w:t>al court must ensure that the implementation of any measure</w:t>
      </w:r>
      <w:r w:rsidR="00EF0F4B">
        <w:rPr>
          <w:lang w:val="en"/>
        </w:rPr>
        <w:t xml:space="preserve"> that even only possibly might constitute </w:t>
      </w:r>
      <w:r w:rsidR="00F955AA">
        <w:rPr>
          <w:lang w:val="en"/>
        </w:rPr>
        <w:t>S</w:t>
      </w:r>
      <w:r>
        <w:rPr>
          <w:lang w:val="en"/>
        </w:rPr>
        <w:t>tate aid, is postponed and that all the</w:t>
      </w:r>
      <w:r w:rsidR="006E2C6E">
        <w:rPr>
          <w:lang w:val="en"/>
        </w:rPr>
        <w:t xml:space="preserve"> other</w:t>
      </w:r>
      <w:r>
        <w:rPr>
          <w:lang w:val="en"/>
        </w:rPr>
        <w:t xml:space="preserve"> necessary consequences of a possible breach of the standstill require</w:t>
      </w:r>
      <w:r w:rsidR="006E2C6E">
        <w:rPr>
          <w:lang w:val="en"/>
        </w:rPr>
        <w:t>ment are taken</w:t>
      </w:r>
      <w:r>
        <w:rPr>
          <w:lang w:val="en"/>
        </w:rPr>
        <w:t xml:space="preserve"> if, after preliminary examination, the Commi</w:t>
      </w:r>
      <w:r>
        <w:rPr>
          <w:lang w:val="en"/>
        </w:rPr>
        <w:t>s</w:t>
      </w:r>
      <w:r>
        <w:rPr>
          <w:lang w:val="en"/>
        </w:rPr>
        <w:t>sion has decided to initiate the formal investigation procedure in accor</w:t>
      </w:r>
      <w:r w:rsidR="006E2C6E">
        <w:rPr>
          <w:lang w:val="en"/>
        </w:rPr>
        <w:t>dance with Article 4 (4) of Reg. 2015/1589</w:t>
      </w:r>
      <w:r>
        <w:rPr>
          <w:lang w:val="en"/>
        </w:rPr>
        <w:t xml:space="preserve"> </w:t>
      </w:r>
      <w:r w:rsidR="006E2C6E">
        <w:rPr>
          <w:lang w:val="en"/>
        </w:rPr>
        <w:t xml:space="preserve">and, by doing </w:t>
      </w:r>
      <w:r w:rsidR="00FB66CB">
        <w:rPr>
          <w:lang w:val="en"/>
        </w:rPr>
        <w:t>so</w:t>
      </w:r>
      <w:r w:rsidR="006E2C6E">
        <w:rPr>
          <w:lang w:val="en"/>
        </w:rPr>
        <w:t>, has</w:t>
      </w:r>
      <w:r w:rsidR="00FB66CB">
        <w:rPr>
          <w:lang w:val="en"/>
        </w:rPr>
        <w:t xml:space="preserve"> formally</w:t>
      </w:r>
      <w:r w:rsidR="006E2C6E">
        <w:rPr>
          <w:lang w:val="en"/>
        </w:rPr>
        <w:t xml:space="preserve"> </w:t>
      </w:r>
      <w:r>
        <w:rPr>
          <w:lang w:val="en"/>
        </w:rPr>
        <w:t xml:space="preserve">expressed its </w:t>
      </w:r>
      <w:r w:rsidR="008D09C1">
        <w:rPr>
          <w:lang w:val="en"/>
        </w:rPr>
        <w:t>concern</w:t>
      </w:r>
      <w:r>
        <w:rPr>
          <w:lang w:val="en"/>
        </w:rPr>
        <w:t xml:space="preserve">s as to the </w:t>
      </w:r>
      <w:r w:rsidR="00F955AA">
        <w:rPr>
          <w:lang w:val="en"/>
        </w:rPr>
        <w:t>S</w:t>
      </w:r>
      <w:r w:rsidR="006E2C6E">
        <w:rPr>
          <w:lang w:val="en"/>
        </w:rPr>
        <w:t xml:space="preserve">tate </w:t>
      </w:r>
      <w:r>
        <w:rPr>
          <w:lang w:val="en"/>
        </w:rPr>
        <w:t>aid character of the measure and its compatibility with the internal market.</w:t>
      </w:r>
      <w:r w:rsidR="00D822A2" w:rsidRPr="00064EC4">
        <w:rPr>
          <w:rStyle w:val="Funotenzeichen"/>
        </w:rPr>
        <w:footnoteReference w:id="15"/>
      </w:r>
      <w:r w:rsidR="00FC3CFD">
        <w:rPr>
          <w:lang w:val="en"/>
        </w:rPr>
        <w:t xml:space="preserve"> In that sense, dec</w:t>
      </w:r>
      <w:r w:rsidR="00FC3CFD">
        <w:rPr>
          <w:lang w:val="en"/>
        </w:rPr>
        <w:t>i</w:t>
      </w:r>
      <w:r w:rsidR="00FC3CFD">
        <w:rPr>
          <w:lang w:val="en"/>
        </w:rPr>
        <w:lastRenderedPageBreak/>
        <w:t>sions under Article 4 (4) of Reg. 2015/1589 thus have a binding effect on national jurisdi</w:t>
      </w:r>
      <w:r w:rsidR="00FC3CFD">
        <w:rPr>
          <w:lang w:val="en"/>
        </w:rPr>
        <w:t>c</w:t>
      </w:r>
      <w:r w:rsidR="00FC3CFD">
        <w:rPr>
          <w:lang w:val="en"/>
        </w:rPr>
        <w:t>tions.</w:t>
      </w:r>
    </w:p>
    <w:p w14:paraId="3569FD50" w14:textId="77777777" w:rsidR="00A72DD3" w:rsidRDefault="00A72DD3" w:rsidP="0018082A">
      <w:pPr>
        <w:spacing w:line="360" w:lineRule="auto"/>
        <w:ind w:right="-2"/>
        <w:jc w:val="both"/>
      </w:pPr>
    </w:p>
    <w:p w14:paraId="3E27AEF8" w14:textId="3BB4F721" w:rsidR="00A72DD3" w:rsidRPr="00A72DD3" w:rsidRDefault="00A72DD3" w:rsidP="0018082A">
      <w:pPr>
        <w:spacing w:line="360" w:lineRule="auto"/>
        <w:ind w:right="-2"/>
        <w:jc w:val="both"/>
        <w:rPr>
          <w:b/>
        </w:rPr>
      </w:pPr>
      <w:r w:rsidRPr="00A72DD3">
        <w:rPr>
          <w:b/>
        </w:rPr>
        <w:t xml:space="preserve">3. </w:t>
      </w:r>
      <w:r w:rsidR="00EF61D6">
        <w:rPr>
          <w:b/>
        </w:rPr>
        <w:t xml:space="preserve">Territorial </w:t>
      </w:r>
      <w:proofErr w:type="spellStart"/>
      <w:r w:rsidR="00EF61D6">
        <w:rPr>
          <w:b/>
        </w:rPr>
        <w:t>Scope</w:t>
      </w:r>
      <w:proofErr w:type="spellEnd"/>
    </w:p>
    <w:p w14:paraId="13702FD2" w14:textId="77777777" w:rsidR="00A72DD3" w:rsidRDefault="00A72DD3" w:rsidP="0018082A">
      <w:pPr>
        <w:spacing w:line="360" w:lineRule="auto"/>
        <w:ind w:right="-2"/>
        <w:jc w:val="both"/>
      </w:pPr>
    </w:p>
    <w:p w14:paraId="0CDBE23C" w14:textId="63E2B09B" w:rsidR="000019DB" w:rsidRDefault="00EF61D6" w:rsidP="0018082A">
      <w:pPr>
        <w:spacing w:line="360" w:lineRule="auto"/>
        <w:ind w:right="-2"/>
        <w:jc w:val="both"/>
        <w:rPr>
          <w:lang w:val="en"/>
        </w:rPr>
      </w:pPr>
      <w:r>
        <w:rPr>
          <w:lang w:val="en"/>
        </w:rPr>
        <w:t>EU State aid rules apply only to aid from EU Member States.</w:t>
      </w:r>
      <w:r w:rsidR="00E20828">
        <w:rPr>
          <w:rStyle w:val="Funotenzeichen"/>
        </w:rPr>
        <w:footnoteReference w:id="16"/>
      </w:r>
      <w:r>
        <w:rPr>
          <w:lang w:val="en"/>
        </w:rPr>
        <w:t xml:space="preserve"> Allowances from third cou</w:t>
      </w:r>
      <w:r>
        <w:rPr>
          <w:lang w:val="en"/>
        </w:rPr>
        <w:t>n</w:t>
      </w:r>
      <w:r>
        <w:rPr>
          <w:lang w:val="en"/>
        </w:rPr>
        <w:t>tries, on the other hand, should in principle only be assessed in accordance with the WTO subsidy rules</w:t>
      </w:r>
      <w:r w:rsidR="00D7333C">
        <w:rPr>
          <w:rStyle w:val="Funotenzeichen"/>
        </w:rPr>
        <w:footnoteReference w:id="17"/>
      </w:r>
      <w:r>
        <w:rPr>
          <w:lang w:val="en"/>
        </w:rPr>
        <w:t xml:space="preserve">, which fall </w:t>
      </w:r>
      <w:r w:rsidR="001F6D89">
        <w:rPr>
          <w:lang w:val="en"/>
        </w:rPr>
        <w:t>far below the standards</w:t>
      </w:r>
      <w:r>
        <w:rPr>
          <w:lang w:val="en"/>
        </w:rPr>
        <w:t xml:space="preserve"> of EU law, both in content and in terms of enforcement possibility</w:t>
      </w:r>
      <w:r w:rsidR="00D7333C" w:rsidRPr="00064EC4">
        <w:rPr>
          <w:rStyle w:val="Funotenzeichen"/>
        </w:rPr>
        <w:footnoteReference w:id="18"/>
      </w:r>
      <w:r>
        <w:rPr>
          <w:lang w:val="en"/>
        </w:rPr>
        <w:t xml:space="preserve">. </w:t>
      </w:r>
      <w:r w:rsidR="00AA71D1">
        <w:rPr>
          <w:lang w:val="en"/>
        </w:rPr>
        <w:t>This also applies to</w:t>
      </w:r>
      <w:r w:rsidR="001F6D89">
        <w:rPr>
          <w:lang w:val="en"/>
        </w:rPr>
        <w:t xml:space="preserve"> aid measures </w:t>
      </w:r>
      <w:r w:rsidR="00AA71D1">
        <w:rPr>
          <w:lang w:val="en"/>
        </w:rPr>
        <w:t>from</w:t>
      </w:r>
      <w:r w:rsidR="001F6D89">
        <w:rPr>
          <w:lang w:val="en"/>
        </w:rPr>
        <w:t xml:space="preserve"> </w:t>
      </w:r>
      <w:r w:rsidR="00AA71D1">
        <w:rPr>
          <w:lang w:val="en"/>
        </w:rPr>
        <w:t>third countries that</w:t>
      </w:r>
      <w:r w:rsidR="001F6D89">
        <w:rPr>
          <w:lang w:val="en"/>
        </w:rPr>
        <w:t xml:space="preserve"> a</w:t>
      </w:r>
      <w:r>
        <w:rPr>
          <w:lang w:val="en"/>
        </w:rPr>
        <w:t>ffect the internal market.</w:t>
      </w:r>
      <w:r w:rsidR="00AA71D1">
        <w:rPr>
          <w:rStyle w:val="Funotenzeichen"/>
        </w:rPr>
        <w:footnoteReference w:id="19"/>
      </w:r>
      <w:r>
        <w:rPr>
          <w:lang w:val="en"/>
        </w:rPr>
        <w:t xml:space="preserve"> If</w:t>
      </w:r>
      <w:r w:rsidR="001F6D89">
        <w:rPr>
          <w:lang w:val="en"/>
        </w:rPr>
        <w:t>, however,</w:t>
      </w:r>
      <w:r>
        <w:rPr>
          <w:lang w:val="en"/>
        </w:rPr>
        <w:t xml:space="preserve"> the </w:t>
      </w:r>
      <w:r w:rsidR="001F6D89">
        <w:rPr>
          <w:lang w:val="en"/>
        </w:rPr>
        <w:t>intervening third country</w:t>
      </w:r>
      <w:r>
        <w:rPr>
          <w:lang w:val="en"/>
        </w:rPr>
        <w:t xml:space="preserve"> is a member of the European Economic Area, the</w:t>
      </w:r>
      <w:r w:rsidR="001F6D89">
        <w:rPr>
          <w:lang w:val="en"/>
        </w:rPr>
        <w:t xml:space="preserve"> State</w:t>
      </w:r>
      <w:r>
        <w:rPr>
          <w:lang w:val="en"/>
        </w:rPr>
        <w:t xml:space="preserve"> aid provisions of the EEA Agreement of May</w:t>
      </w:r>
      <w:r w:rsidR="001F6D89">
        <w:rPr>
          <w:lang w:val="en"/>
        </w:rPr>
        <w:t xml:space="preserve"> 2</w:t>
      </w:r>
      <w:r w:rsidR="001F6D89" w:rsidRPr="001F6D89">
        <w:rPr>
          <w:vertAlign w:val="superscript"/>
          <w:lang w:val="en"/>
        </w:rPr>
        <w:t>nd</w:t>
      </w:r>
      <w:r w:rsidR="001F6D89">
        <w:rPr>
          <w:lang w:val="en"/>
        </w:rPr>
        <w:t>,</w:t>
      </w:r>
      <w:r>
        <w:rPr>
          <w:lang w:val="en"/>
        </w:rPr>
        <w:t xml:space="preserve"> 1992</w:t>
      </w:r>
      <w:r w:rsidR="00D86749" w:rsidRPr="00064EC4">
        <w:rPr>
          <w:rStyle w:val="Funotenzeichen"/>
        </w:rPr>
        <w:footnoteReference w:id="20"/>
      </w:r>
      <w:r w:rsidR="001F6D89">
        <w:rPr>
          <w:lang w:val="en"/>
        </w:rPr>
        <w:t xml:space="preserve"> are appl</w:t>
      </w:r>
      <w:r w:rsidR="001F6D89">
        <w:rPr>
          <w:lang w:val="en"/>
        </w:rPr>
        <w:t>i</w:t>
      </w:r>
      <w:r w:rsidR="001F6D89">
        <w:rPr>
          <w:lang w:val="en"/>
        </w:rPr>
        <w:t>cable</w:t>
      </w:r>
      <w:r>
        <w:rPr>
          <w:lang w:val="en"/>
        </w:rPr>
        <w:t>.</w:t>
      </w:r>
      <w:r w:rsidR="00A954E0">
        <w:rPr>
          <w:rStyle w:val="Funotenzeichen"/>
        </w:rPr>
        <w:footnoteReference w:id="21"/>
      </w:r>
      <w:r>
        <w:rPr>
          <w:lang w:val="en"/>
        </w:rPr>
        <w:t xml:space="preserve"> </w:t>
      </w:r>
      <w:r w:rsidR="001F6D89">
        <w:rPr>
          <w:lang w:val="en"/>
        </w:rPr>
        <w:t>T</w:t>
      </w:r>
      <w:r>
        <w:rPr>
          <w:lang w:val="en"/>
        </w:rPr>
        <w:t xml:space="preserve">he legal situation </w:t>
      </w:r>
      <w:r w:rsidR="001F6D89">
        <w:rPr>
          <w:lang w:val="en"/>
        </w:rPr>
        <w:t xml:space="preserve">is more complex </w:t>
      </w:r>
      <w:r>
        <w:rPr>
          <w:lang w:val="en"/>
        </w:rPr>
        <w:t>in case</w:t>
      </w:r>
      <w:r w:rsidR="001F6D89">
        <w:rPr>
          <w:lang w:val="en"/>
        </w:rPr>
        <w:t xml:space="preserve"> a State aid measure relating to a third country, but granted by an EU Member State is concerned</w:t>
      </w:r>
      <w:r>
        <w:rPr>
          <w:lang w:val="en"/>
        </w:rPr>
        <w:t xml:space="preserve">. Since </w:t>
      </w:r>
      <w:r w:rsidR="001F6D89">
        <w:rPr>
          <w:lang w:val="en"/>
        </w:rPr>
        <w:t>the Articles 107 et seq</w:t>
      </w:r>
      <w:r w:rsidR="00B016DA">
        <w:rPr>
          <w:lang w:val="en"/>
        </w:rPr>
        <w:t>.</w:t>
      </w:r>
      <w:r w:rsidR="001F6D89">
        <w:rPr>
          <w:lang w:val="en"/>
        </w:rPr>
        <w:t xml:space="preserve"> TFEU aim at </w:t>
      </w:r>
      <w:r>
        <w:rPr>
          <w:lang w:val="en"/>
        </w:rPr>
        <w:t>the prevention of distortions of competition within the internal market</w:t>
      </w:r>
      <w:r w:rsidR="00275172">
        <w:rPr>
          <w:rStyle w:val="Funotenzeichen"/>
        </w:rPr>
        <w:footnoteReference w:id="22"/>
      </w:r>
      <w:r>
        <w:rPr>
          <w:lang w:val="en"/>
        </w:rPr>
        <w:t xml:space="preserve">, </w:t>
      </w:r>
      <w:r w:rsidR="001F6D89">
        <w:rPr>
          <w:lang w:val="en"/>
        </w:rPr>
        <w:t xml:space="preserve">the applicability of </w:t>
      </w:r>
      <w:r>
        <w:rPr>
          <w:lang w:val="en"/>
        </w:rPr>
        <w:t xml:space="preserve">EU State aid </w:t>
      </w:r>
      <w:r w:rsidR="001F6D89">
        <w:rPr>
          <w:lang w:val="en"/>
        </w:rPr>
        <w:t>presupposes the suitability of the aid</w:t>
      </w:r>
      <w:r>
        <w:rPr>
          <w:lang w:val="en"/>
        </w:rPr>
        <w:t xml:space="preserve"> to distort competition wit</w:t>
      </w:r>
      <w:r>
        <w:rPr>
          <w:lang w:val="en"/>
        </w:rPr>
        <w:t>h</w:t>
      </w:r>
      <w:r>
        <w:rPr>
          <w:lang w:val="en"/>
        </w:rPr>
        <w:t>in the EU</w:t>
      </w:r>
      <w:r w:rsidR="00B016DA">
        <w:rPr>
          <w:lang w:val="en"/>
        </w:rPr>
        <w:t xml:space="preserve"> and thus</w:t>
      </w:r>
      <w:r>
        <w:rPr>
          <w:lang w:val="en"/>
        </w:rPr>
        <w:t xml:space="preserve"> to affect trade between Member States</w:t>
      </w:r>
      <w:r w:rsidR="00532509">
        <w:rPr>
          <w:rStyle w:val="Funotenzeichen"/>
        </w:rPr>
        <w:footnoteReference w:id="23"/>
      </w:r>
      <w:r>
        <w:rPr>
          <w:lang w:val="en"/>
        </w:rPr>
        <w:t xml:space="preserve">. Export subsidies which </w:t>
      </w:r>
      <w:r w:rsidR="00B016DA">
        <w:rPr>
          <w:lang w:val="en"/>
        </w:rPr>
        <w:t xml:space="preserve">may </w:t>
      </w:r>
      <w:r>
        <w:rPr>
          <w:lang w:val="en"/>
        </w:rPr>
        <w:t xml:space="preserve">have an indirect effect on the competitive position of the beneficiary can therefore also </w:t>
      </w:r>
      <w:r w:rsidR="00B016DA">
        <w:rPr>
          <w:lang w:val="en"/>
        </w:rPr>
        <w:t>fall within the scope of the Articles</w:t>
      </w:r>
      <w:r>
        <w:rPr>
          <w:lang w:val="en"/>
        </w:rPr>
        <w:t xml:space="preserve"> 107 et seq. TFEU</w:t>
      </w:r>
      <w:r w:rsidR="00CF4BAA">
        <w:rPr>
          <w:rStyle w:val="Funotenzeichen"/>
        </w:rPr>
        <w:footnoteReference w:id="24"/>
      </w:r>
      <w:r w:rsidR="00B016DA">
        <w:rPr>
          <w:lang w:val="en"/>
        </w:rPr>
        <w:t>, same as an aid granted by a M</w:t>
      </w:r>
      <w:r>
        <w:rPr>
          <w:lang w:val="en"/>
        </w:rPr>
        <w:t>ember State to</w:t>
      </w:r>
      <w:r w:rsidR="00B016DA">
        <w:rPr>
          <w:lang w:val="en"/>
        </w:rPr>
        <w:t xml:space="preserve"> a third-country undertaking</w:t>
      </w:r>
      <w:r>
        <w:rPr>
          <w:lang w:val="en"/>
        </w:rPr>
        <w:t>, provided</w:t>
      </w:r>
      <w:r w:rsidR="00B016DA">
        <w:rPr>
          <w:lang w:val="en"/>
        </w:rPr>
        <w:t xml:space="preserve"> of course that the aid is suitable to</w:t>
      </w:r>
      <w:r>
        <w:rPr>
          <w:lang w:val="en"/>
        </w:rPr>
        <w:t xml:space="preserve"> affect trade between Member States</w:t>
      </w:r>
      <w:r w:rsidR="007B0513">
        <w:rPr>
          <w:rStyle w:val="Funotenzeichen"/>
        </w:rPr>
        <w:footnoteReference w:id="25"/>
      </w:r>
      <w:r>
        <w:rPr>
          <w:lang w:val="en"/>
        </w:rPr>
        <w:t xml:space="preserve">. This </w:t>
      </w:r>
      <w:r w:rsidR="00B016DA">
        <w:rPr>
          <w:lang w:val="en"/>
        </w:rPr>
        <w:t>may be</w:t>
      </w:r>
      <w:r>
        <w:rPr>
          <w:lang w:val="en"/>
        </w:rPr>
        <w:t xml:space="preserve"> conceivable, for example, if</w:t>
      </w:r>
      <w:r w:rsidR="00B016DA">
        <w:rPr>
          <w:lang w:val="en"/>
        </w:rPr>
        <w:t xml:space="preserve"> in return for the aid,</w:t>
      </w:r>
      <w:r>
        <w:rPr>
          <w:lang w:val="en"/>
        </w:rPr>
        <w:t xml:space="preserve"> the third </w:t>
      </w:r>
      <w:r w:rsidR="00B016DA">
        <w:rPr>
          <w:lang w:val="en"/>
        </w:rPr>
        <w:t xml:space="preserve">country </w:t>
      </w:r>
      <w:r>
        <w:rPr>
          <w:lang w:val="en"/>
        </w:rPr>
        <w:t xml:space="preserve">recipient </w:t>
      </w:r>
      <w:r w:rsidR="00B016DA">
        <w:rPr>
          <w:lang w:val="en"/>
        </w:rPr>
        <w:t xml:space="preserve">commits itself to perform services </w:t>
      </w:r>
      <w:r>
        <w:rPr>
          <w:lang w:val="en"/>
        </w:rPr>
        <w:t xml:space="preserve">more cheaply to undertakings of the Member State </w:t>
      </w:r>
      <w:r w:rsidR="00B016DA">
        <w:rPr>
          <w:lang w:val="en"/>
        </w:rPr>
        <w:t xml:space="preserve">having </w:t>
      </w:r>
      <w:r>
        <w:rPr>
          <w:lang w:val="en"/>
        </w:rPr>
        <w:t>grant</w:t>
      </w:r>
      <w:r w:rsidR="00B016DA">
        <w:rPr>
          <w:lang w:val="en"/>
        </w:rPr>
        <w:t>ed</w:t>
      </w:r>
      <w:r>
        <w:rPr>
          <w:lang w:val="en"/>
        </w:rPr>
        <w:t xml:space="preserve"> the aid.</w:t>
      </w:r>
      <w:r w:rsidR="00D0090F" w:rsidRPr="00D0090F">
        <w:rPr>
          <w:rStyle w:val="Funotenzeichen"/>
        </w:rPr>
        <w:t xml:space="preserve"> </w:t>
      </w:r>
      <w:r w:rsidR="00D0090F">
        <w:rPr>
          <w:rStyle w:val="Funotenzeichen"/>
        </w:rPr>
        <w:footnoteReference w:id="26"/>
      </w:r>
    </w:p>
    <w:p w14:paraId="5480B76D" w14:textId="77777777" w:rsidR="00EF61D6" w:rsidRDefault="00EF61D6" w:rsidP="0018082A">
      <w:pPr>
        <w:spacing w:line="360" w:lineRule="auto"/>
        <w:ind w:right="-2"/>
        <w:jc w:val="both"/>
      </w:pPr>
    </w:p>
    <w:p w14:paraId="62D269B8" w14:textId="5647A7E5" w:rsidR="000019DB" w:rsidRPr="000019DB" w:rsidRDefault="000019DB" w:rsidP="0018082A">
      <w:pPr>
        <w:spacing w:line="360" w:lineRule="auto"/>
        <w:ind w:right="-2"/>
        <w:jc w:val="both"/>
        <w:rPr>
          <w:b/>
        </w:rPr>
      </w:pPr>
      <w:r w:rsidRPr="000019DB">
        <w:rPr>
          <w:b/>
        </w:rPr>
        <w:t xml:space="preserve">II. </w:t>
      </w:r>
      <w:r w:rsidR="00B016DA">
        <w:rPr>
          <w:b/>
        </w:rPr>
        <w:t xml:space="preserve">Legal Situation </w:t>
      </w:r>
      <w:proofErr w:type="spellStart"/>
      <w:r w:rsidR="00B016DA">
        <w:rPr>
          <w:b/>
        </w:rPr>
        <w:t>without</w:t>
      </w:r>
      <w:proofErr w:type="spellEnd"/>
      <w:r w:rsidR="00B016DA">
        <w:rPr>
          <w:b/>
        </w:rPr>
        <w:t xml:space="preserve"> Exit Agreement</w:t>
      </w:r>
    </w:p>
    <w:p w14:paraId="1430484A" w14:textId="77777777" w:rsidR="00A755B1" w:rsidRPr="00064EC4" w:rsidRDefault="00A755B1" w:rsidP="0018082A">
      <w:pPr>
        <w:spacing w:line="360" w:lineRule="auto"/>
        <w:ind w:right="-2"/>
        <w:jc w:val="both"/>
      </w:pPr>
    </w:p>
    <w:p w14:paraId="01012B91" w14:textId="7D65A248" w:rsidR="00B60D40" w:rsidRPr="00064EC4" w:rsidRDefault="000019DB" w:rsidP="0018082A">
      <w:pPr>
        <w:spacing w:line="360" w:lineRule="auto"/>
        <w:ind w:right="-2"/>
        <w:jc w:val="both"/>
        <w:rPr>
          <w:b/>
        </w:rPr>
      </w:pPr>
      <w:r>
        <w:rPr>
          <w:b/>
        </w:rPr>
        <w:t>1</w:t>
      </w:r>
      <w:r w:rsidR="00B60D40" w:rsidRPr="00064EC4">
        <w:rPr>
          <w:b/>
        </w:rPr>
        <w:t xml:space="preserve">. </w:t>
      </w:r>
      <w:proofErr w:type="spellStart"/>
      <w:r w:rsidR="00B60D40" w:rsidRPr="00064EC4">
        <w:rPr>
          <w:b/>
        </w:rPr>
        <w:t>A</w:t>
      </w:r>
      <w:r w:rsidR="00D0090F">
        <w:rPr>
          <w:b/>
        </w:rPr>
        <w:t>pplication</w:t>
      </w:r>
      <w:proofErr w:type="spellEnd"/>
      <w:r w:rsidR="00D0090F">
        <w:rPr>
          <w:b/>
        </w:rPr>
        <w:t xml:space="preserve"> </w:t>
      </w:r>
      <w:proofErr w:type="spellStart"/>
      <w:r w:rsidR="00D0090F">
        <w:rPr>
          <w:b/>
        </w:rPr>
        <w:t>of</w:t>
      </w:r>
      <w:proofErr w:type="spellEnd"/>
      <w:r w:rsidR="00D0090F">
        <w:rPr>
          <w:b/>
        </w:rPr>
        <w:t xml:space="preserve"> </w:t>
      </w:r>
      <w:proofErr w:type="spellStart"/>
      <w:r w:rsidR="00D0090F">
        <w:rPr>
          <w:b/>
        </w:rPr>
        <w:t>the</w:t>
      </w:r>
      <w:proofErr w:type="spellEnd"/>
      <w:r w:rsidR="00D0090F">
        <w:rPr>
          <w:b/>
        </w:rPr>
        <w:t xml:space="preserve"> EEA</w:t>
      </w:r>
      <w:r w:rsidR="00B60D40" w:rsidRPr="00064EC4">
        <w:rPr>
          <w:b/>
        </w:rPr>
        <w:t xml:space="preserve"> </w:t>
      </w:r>
      <w:r w:rsidR="00D0090F">
        <w:rPr>
          <w:b/>
        </w:rPr>
        <w:t xml:space="preserve">State </w:t>
      </w:r>
      <w:proofErr w:type="spellStart"/>
      <w:r w:rsidR="00210E20">
        <w:rPr>
          <w:b/>
        </w:rPr>
        <w:t>A</w:t>
      </w:r>
      <w:r w:rsidR="00D0090F">
        <w:rPr>
          <w:b/>
        </w:rPr>
        <w:t>id</w:t>
      </w:r>
      <w:proofErr w:type="spellEnd"/>
      <w:r w:rsidR="00D0090F">
        <w:rPr>
          <w:b/>
        </w:rPr>
        <w:t xml:space="preserve"> </w:t>
      </w:r>
      <w:proofErr w:type="spellStart"/>
      <w:r w:rsidR="00D0090F">
        <w:rPr>
          <w:b/>
        </w:rPr>
        <w:t>Provisions</w:t>
      </w:r>
      <w:proofErr w:type="spellEnd"/>
      <w:r w:rsidR="00B60D40" w:rsidRPr="00064EC4">
        <w:rPr>
          <w:b/>
        </w:rPr>
        <w:t xml:space="preserve"> </w:t>
      </w:r>
    </w:p>
    <w:p w14:paraId="048B6E9F" w14:textId="77777777" w:rsidR="00251339" w:rsidRPr="00064EC4" w:rsidRDefault="00251339" w:rsidP="0018082A">
      <w:pPr>
        <w:spacing w:line="360" w:lineRule="auto"/>
        <w:ind w:right="-2"/>
        <w:jc w:val="both"/>
      </w:pPr>
    </w:p>
    <w:p w14:paraId="1C7D6BE6" w14:textId="26639D80" w:rsidR="003028DF" w:rsidRDefault="003E196C" w:rsidP="0018082A">
      <w:pPr>
        <w:spacing w:line="360" w:lineRule="auto"/>
        <w:ind w:right="-2"/>
        <w:jc w:val="both"/>
        <w:rPr>
          <w:lang w:val="en"/>
        </w:rPr>
      </w:pPr>
      <w:r>
        <w:rPr>
          <w:lang w:val="en"/>
        </w:rPr>
        <w:t>It does not pose legal problem</w:t>
      </w:r>
      <w:r w:rsidR="00BF3513">
        <w:rPr>
          <w:lang w:val="en"/>
        </w:rPr>
        <w:t>s</w:t>
      </w:r>
      <w:r>
        <w:rPr>
          <w:lang w:val="en"/>
        </w:rPr>
        <w:t xml:space="preserve"> that the United Kingdom shall be a third country in relation to facts which become fully effective in the period after the withdrawal takes effect, so that aid granted by the United Kingdom (exclusively) after Brexit, shall not be assessed by means of a direct application of the Articles 107 TFEU et seq. and the relevant secondary legislation. It should be discussed, however, whether the United Kingdom can remain a member of the E</w:t>
      </w:r>
      <w:r>
        <w:rPr>
          <w:lang w:val="en"/>
        </w:rPr>
        <w:t>u</w:t>
      </w:r>
      <w:r>
        <w:rPr>
          <w:lang w:val="en"/>
        </w:rPr>
        <w:t>ropean Economic Area after leaving the EU and thus remains subject to EEA State aid rules.</w:t>
      </w:r>
      <w:r w:rsidR="00B524C0" w:rsidRPr="00064EC4">
        <w:rPr>
          <w:rStyle w:val="Funotenzeichen"/>
        </w:rPr>
        <w:footnoteReference w:id="27"/>
      </w:r>
      <w:r>
        <w:rPr>
          <w:lang w:val="en"/>
        </w:rPr>
        <w:t xml:space="preserve"> In any event, the United Kingdom may, by virtue of Article 127 (1) of the EEA Agreement, withdraw from the EEA by written notice to the other EEA Contracting Parties</w:t>
      </w:r>
      <w:r w:rsidR="00302914">
        <w:rPr>
          <w:lang w:val="en"/>
        </w:rPr>
        <w:t xml:space="preserve"> that needs to be communicated 12 months in advance. Also, </w:t>
      </w:r>
      <w:r>
        <w:rPr>
          <w:lang w:val="en"/>
        </w:rPr>
        <w:t xml:space="preserve">the other EEA Contracting Parties </w:t>
      </w:r>
      <w:r w:rsidR="00302914">
        <w:rPr>
          <w:lang w:val="en"/>
        </w:rPr>
        <w:t>may declare the s</w:t>
      </w:r>
      <w:r>
        <w:rPr>
          <w:lang w:val="en"/>
        </w:rPr>
        <w:t xml:space="preserve">uspension </w:t>
      </w:r>
      <w:r w:rsidR="00302914">
        <w:rPr>
          <w:lang w:val="en"/>
        </w:rPr>
        <w:t xml:space="preserve">or the termination </w:t>
      </w:r>
      <w:r>
        <w:rPr>
          <w:lang w:val="en"/>
        </w:rPr>
        <w:t>of the EEA Agreement vis-à-vis the United Kingdom purs</w:t>
      </w:r>
      <w:r>
        <w:rPr>
          <w:lang w:val="en"/>
        </w:rPr>
        <w:t>u</w:t>
      </w:r>
      <w:r>
        <w:rPr>
          <w:lang w:val="en"/>
        </w:rPr>
        <w:t xml:space="preserve">ant to Article 62 (1) or (3) of the Vienna Convention </w:t>
      </w:r>
      <w:r w:rsidR="00302914">
        <w:rPr>
          <w:lang w:val="en"/>
        </w:rPr>
        <w:t>on the law of Treaties of</w:t>
      </w:r>
      <w:r>
        <w:rPr>
          <w:lang w:val="en"/>
        </w:rPr>
        <w:t xml:space="preserve"> May </w:t>
      </w:r>
      <w:r w:rsidR="00302914">
        <w:rPr>
          <w:lang w:val="en"/>
        </w:rPr>
        <w:t xml:space="preserve">23, </w:t>
      </w:r>
      <w:r>
        <w:rPr>
          <w:lang w:val="en"/>
        </w:rPr>
        <w:t>1969</w:t>
      </w:r>
      <w:r w:rsidR="00210E20" w:rsidRPr="00064EC4">
        <w:rPr>
          <w:rStyle w:val="Funotenzeichen"/>
        </w:rPr>
        <w:footnoteReference w:id="28"/>
      </w:r>
      <w:r w:rsidR="00302914">
        <w:rPr>
          <w:lang w:val="en"/>
        </w:rPr>
        <w:t>.</w:t>
      </w:r>
      <w:r w:rsidR="00210E20" w:rsidRPr="00064EC4">
        <w:rPr>
          <w:rStyle w:val="Funotenzeichen"/>
        </w:rPr>
        <w:footnoteReference w:id="29"/>
      </w:r>
      <w:r w:rsidR="00302914">
        <w:rPr>
          <w:lang w:val="en"/>
        </w:rPr>
        <w:t xml:space="preserve"> With that in mind, the details of a continued application of the EEA State aid rules on the United Kingdom shall not be treated in the present article, as th</w:t>
      </w:r>
      <w:r>
        <w:rPr>
          <w:lang w:val="en"/>
        </w:rPr>
        <w:t xml:space="preserve">is </w:t>
      </w:r>
      <w:r w:rsidR="00210E20">
        <w:rPr>
          <w:lang w:val="en"/>
        </w:rPr>
        <w:t xml:space="preserve">task </w:t>
      </w:r>
      <w:r>
        <w:rPr>
          <w:lang w:val="en"/>
        </w:rPr>
        <w:t xml:space="preserve">has already </w:t>
      </w:r>
      <w:r w:rsidR="00302914">
        <w:rPr>
          <w:lang w:val="en"/>
        </w:rPr>
        <w:t xml:space="preserve">been </w:t>
      </w:r>
      <w:r w:rsidR="00210E20">
        <w:rPr>
          <w:lang w:val="en"/>
        </w:rPr>
        <w:t>fulfilled in a different article</w:t>
      </w:r>
      <w:r>
        <w:rPr>
          <w:lang w:val="en"/>
        </w:rPr>
        <w:t>.</w:t>
      </w:r>
      <w:r w:rsidR="00210E20">
        <w:rPr>
          <w:rStyle w:val="Funotenzeichen"/>
        </w:rPr>
        <w:footnoteReference w:id="30"/>
      </w:r>
    </w:p>
    <w:p w14:paraId="5EAA0D86" w14:textId="77777777" w:rsidR="003E196C" w:rsidRDefault="003E196C" w:rsidP="0018082A">
      <w:pPr>
        <w:spacing w:line="360" w:lineRule="auto"/>
        <w:ind w:right="-2"/>
        <w:jc w:val="both"/>
      </w:pPr>
    </w:p>
    <w:p w14:paraId="7FABBC51" w14:textId="6D60EDAF" w:rsidR="00004950" w:rsidRDefault="00004950" w:rsidP="0018082A">
      <w:pPr>
        <w:spacing w:line="360" w:lineRule="auto"/>
        <w:ind w:right="-2"/>
        <w:jc w:val="both"/>
        <w:rPr>
          <w:b/>
        </w:rPr>
      </w:pPr>
      <w:r>
        <w:rPr>
          <w:b/>
        </w:rPr>
        <w:t xml:space="preserve">2. </w:t>
      </w:r>
      <w:r w:rsidR="00A47C36">
        <w:rPr>
          <w:b/>
        </w:rPr>
        <w:t xml:space="preserve">Establishment </w:t>
      </w:r>
      <w:proofErr w:type="spellStart"/>
      <w:r w:rsidR="00A47C36">
        <w:rPr>
          <w:b/>
        </w:rPr>
        <w:t>of</w:t>
      </w:r>
      <w:proofErr w:type="spellEnd"/>
      <w:r w:rsidR="00A47C36">
        <w:rPr>
          <w:b/>
        </w:rPr>
        <w:t xml:space="preserve"> </w:t>
      </w:r>
      <w:r w:rsidR="008505F0">
        <w:rPr>
          <w:b/>
        </w:rPr>
        <w:t xml:space="preserve">a </w:t>
      </w:r>
      <w:r w:rsidR="00A47C36">
        <w:rPr>
          <w:b/>
        </w:rPr>
        <w:t xml:space="preserve">British State </w:t>
      </w:r>
      <w:proofErr w:type="spellStart"/>
      <w:r w:rsidR="00A47C36">
        <w:rPr>
          <w:b/>
        </w:rPr>
        <w:t>Aid</w:t>
      </w:r>
      <w:proofErr w:type="spellEnd"/>
      <w:r w:rsidR="00A47C36">
        <w:rPr>
          <w:b/>
        </w:rPr>
        <w:t xml:space="preserve"> Control</w:t>
      </w:r>
    </w:p>
    <w:p w14:paraId="7AFB7B25" w14:textId="77777777" w:rsidR="00004950" w:rsidRDefault="00004950" w:rsidP="0018082A">
      <w:pPr>
        <w:spacing w:line="360" w:lineRule="auto"/>
        <w:ind w:right="-2"/>
        <w:jc w:val="both"/>
        <w:rPr>
          <w:b/>
        </w:rPr>
      </w:pPr>
    </w:p>
    <w:p w14:paraId="7A647578" w14:textId="117FD633" w:rsidR="00004950" w:rsidRDefault="008E68CC" w:rsidP="0018082A">
      <w:pPr>
        <w:spacing w:line="360" w:lineRule="auto"/>
        <w:ind w:right="-2"/>
        <w:jc w:val="both"/>
        <w:rPr>
          <w:lang w:val="en"/>
        </w:rPr>
      </w:pPr>
      <w:r>
        <w:rPr>
          <w:lang w:val="en"/>
        </w:rPr>
        <w:t>The British Government has announced in a</w:t>
      </w:r>
      <w:r w:rsidR="00304252">
        <w:rPr>
          <w:lang w:val="en"/>
        </w:rPr>
        <w:t xml:space="preserve"> Brexit</w:t>
      </w:r>
      <w:r>
        <w:rPr>
          <w:lang w:val="en"/>
        </w:rPr>
        <w:t xml:space="preserve"> guidance notice of August 23, 2018 that if a withdrawal agreement does not come to pass, a “rigorous” national State aid regime will be established in order to ensure effective control of anti-competitive aid in the future.</w:t>
      </w:r>
      <w:r w:rsidR="00BF3513">
        <w:rPr>
          <w:rStyle w:val="Funotenzeichen"/>
        </w:rPr>
        <w:footnoteReference w:id="31"/>
      </w:r>
      <w:r>
        <w:rPr>
          <w:lang w:val="en"/>
        </w:rPr>
        <w:t xml:space="preserve"> The EU State aid rules will b</w:t>
      </w:r>
      <w:r w:rsidR="00304252">
        <w:rPr>
          <w:lang w:val="en"/>
        </w:rPr>
        <w:t>e transferred into national law.</w:t>
      </w:r>
      <w:r>
        <w:rPr>
          <w:lang w:val="en"/>
        </w:rPr>
        <w:t xml:space="preserve"> This will apply to all economic sectors; and will mirror existing as allowed under the current rules, including the Agricultural Block Exemption Regulation</w:t>
      </w:r>
      <w:r w:rsidR="00AF6052">
        <w:rPr>
          <w:rStyle w:val="Funotenzeichen"/>
        </w:rPr>
        <w:footnoteReference w:id="32"/>
      </w:r>
      <w:r>
        <w:rPr>
          <w:lang w:val="en"/>
        </w:rPr>
        <w:t>, and the Fisheries Block Exemption Regulation</w:t>
      </w:r>
      <w:r w:rsidR="00AF6052">
        <w:rPr>
          <w:rStyle w:val="Funotenzeichen"/>
        </w:rPr>
        <w:footnoteReference w:id="33"/>
      </w:r>
      <w:r>
        <w:rPr>
          <w:lang w:val="en"/>
        </w:rPr>
        <w:t>.</w:t>
      </w:r>
      <w:r w:rsidR="00651A88">
        <w:rPr>
          <w:rStyle w:val="Funotenzeichen"/>
        </w:rPr>
        <w:footnoteReference w:id="34"/>
      </w:r>
      <w:r>
        <w:rPr>
          <w:lang w:val="en"/>
        </w:rPr>
        <w:t xml:space="preserve"> </w:t>
      </w:r>
      <w:r>
        <w:t xml:space="preserve">The </w:t>
      </w:r>
      <w:proofErr w:type="spellStart"/>
      <w:r>
        <w:t>Competition</w:t>
      </w:r>
      <w:proofErr w:type="spellEnd"/>
      <w:r>
        <w:t xml:space="preserve"> </w:t>
      </w:r>
      <w:proofErr w:type="spellStart"/>
      <w:r>
        <w:t>and</w:t>
      </w:r>
      <w:proofErr w:type="spellEnd"/>
      <w:r>
        <w:t xml:space="preserve"> </w:t>
      </w:r>
      <w:proofErr w:type="spellStart"/>
      <w:r>
        <w:t>Markets</w:t>
      </w:r>
      <w:proofErr w:type="spellEnd"/>
      <w:r>
        <w:t xml:space="preserve"> Authority (CMA) will </w:t>
      </w:r>
      <w:proofErr w:type="spellStart"/>
      <w:r>
        <w:t>take</w:t>
      </w:r>
      <w:proofErr w:type="spellEnd"/>
      <w:r>
        <w:t xml:space="preserve"> on </w:t>
      </w:r>
      <w:proofErr w:type="spellStart"/>
      <w:r>
        <w:t>the</w:t>
      </w:r>
      <w:proofErr w:type="spellEnd"/>
      <w:r>
        <w:t xml:space="preserve"> </w:t>
      </w:r>
      <w:proofErr w:type="spellStart"/>
      <w:r>
        <w:t>role</w:t>
      </w:r>
      <w:proofErr w:type="spellEnd"/>
      <w:r>
        <w:t xml:space="preserve"> </w:t>
      </w:r>
      <w:proofErr w:type="spellStart"/>
      <w:r>
        <w:t>of</w:t>
      </w:r>
      <w:proofErr w:type="spellEnd"/>
      <w:r>
        <w:t xml:space="preserve"> </w:t>
      </w:r>
      <w:proofErr w:type="spellStart"/>
      <w:r>
        <w:t>enforcement</w:t>
      </w:r>
      <w:proofErr w:type="spellEnd"/>
      <w:r>
        <w:t xml:space="preserve"> </w:t>
      </w:r>
      <w:proofErr w:type="spellStart"/>
      <w:r>
        <w:t>and</w:t>
      </w:r>
      <w:proofErr w:type="spellEnd"/>
      <w:r>
        <w:t xml:space="preserve"> </w:t>
      </w:r>
      <w:proofErr w:type="spellStart"/>
      <w:r>
        <w:t>supervision</w:t>
      </w:r>
      <w:proofErr w:type="spellEnd"/>
      <w:r>
        <w:t xml:space="preserve"> </w:t>
      </w:r>
      <w:proofErr w:type="spellStart"/>
      <w:r>
        <w:t>for</w:t>
      </w:r>
      <w:proofErr w:type="spellEnd"/>
      <w:r>
        <w:t xml:space="preserve"> </w:t>
      </w:r>
      <w:proofErr w:type="spellStart"/>
      <w:r>
        <w:t>the</w:t>
      </w:r>
      <w:proofErr w:type="spellEnd"/>
      <w:r>
        <w:t xml:space="preserve"> </w:t>
      </w:r>
      <w:proofErr w:type="spellStart"/>
      <w:r>
        <w:t>whole</w:t>
      </w:r>
      <w:proofErr w:type="spellEnd"/>
      <w:r>
        <w:t xml:space="preserve"> </w:t>
      </w:r>
      <w:proofErr w:type="spellStart"/>
      <w:r>
        <w:t>of</w:t>
      </w:r>
      <w:proofErr w:type="spellEnd"/>
      <w:r>
        <w:t xml:space="preserve"> </w:t>
      </w:r>
      <w:proofErr w:type="spellStart"/>
      <w:r>
        <w:t>the</w:t>
      </w:r>
      <w:proofErr w:type="spellEnd"/>
      <w:r>
        <w:t xml:space="preserve"> UK</w:t>
      </w:r>
      <w:r w:rsidR="006F0C67">
        <w:t>.</w:t>
      </w:r>
      <w:r w:rsidR="00496AE9">
        <w:rPr>
          <w:rStyle w:val="Funotenzeichen"/>
        </w:rPr>
        <w:footnoteReference w:id="35"/>
      </w:r>
      <w:r w:rsidR="006F0C67">
        <w:t xml:space="preserve"> T</w:t>
      </w:r>
      <w:r>
        <w:t xml:space="preserve">he CMA </w:t>
      </w:r>
      <w:proofErr w:type="spellStart"/>
      <w:r w:rsidR="006F0C67">
        <w:t>being</w:t>
      </w:r>
      <w:proofErr w:type="spellEnd"/>
      <w:r>
        <w:t xml:space="preserve"> a non-ministerial </w:t>
      </w:r>
      <w:proofErr w:type="spellStart"/>
      <w:r>
        <w:t>department</w:t>
      </w:r>
      <w:proofErr w:type="spellEnd"/>
      <w:r w:rsidR="00AB5385">
        <w:rPr>
          <w:rStyle w:val="Funotenzeichen"/>
        </w:rPr>
        <w:footnoteReference w:id="36"/>
      </w:r>
      <w:r>
        <w:t xml:space="preserve">, an </w:t>
      </w:r>
      <w:proofErr w:type="spellStart"/>
      <w:r>
        <w:t>independ</w:t>
      </w:r>
      <w:r w:rsidR="006F0C67">
        <w:t>e</w:t>
      </w:r>
      <w:r>
        <w:t>nt</w:t>
      </w:r>
      <w:proofErr w:type="spellEnd"/>
      <w:r>
        <w:t xml:space="preserve"> </w:t>
      </w:r>
      <w:proofErr w:type="spellStart"/>
      <w:r>
        <w:t>perfo</w:t>
      </w:r>
      <w:r>
        <w:t>r</w:t>
      </w:r>
      <w:r>
        <w:t>mance</w:t>
      </w:r>
      <w:proofErr w:type="spellEnd"/>
      <w:r>
        <w:t xml:space="preserve"> </w:t>
      </w:r>
      <w:proofErr w:type="spellStart"/>
      <w:r>
        <w:t>of</w:t>
      </w:r>
      <w:proofErr w:type="spellEnd"/>
      <w:r>
        <w:t xml:space="preserve"> </w:t>
      </w:r>
      <w:proofErr w:type="spellStart"/>
      <w:r>
        <w:t>tasks</w:t>
      </w:r>
      <w:proofErr w:type="spellEnd"/>
      <w:r w:rsidR="00862301">
        <w:rPr>
          <w:rStyle w:val="Funotenzeichen"/>
        </w:rPr>
        <w:footnoteReference w:id="37"/>
      </w:r>
      <w:r>
        <w:t xml:space="preserve"> </w:t>
      </w:r>
      <w:r w:rsidR="006F0C67">
        <w:t>wi</w:t>
      </w:r>
      <w:r>
        <w:t xml:space="preserve">ll </w:t>
      </w:r>
      <w:proofErr w:type="spellStart"/>
      <w:r>
        <w:t>be</w:t>
      </w:r>
      <w:proofErr w:type="spellEnd"/>
      <w:r>
        <w:t xml:space="preserve"> </w:t>
      </w:r>
      <w:proofErr w:type="spellStart"/>
      <w:r>
        <w:t>ensured</w:t>
      </w:r>
      <w:proofErr w:type="spellEnd"/>
      <w:r>
        <w:t xml:space="preserve">. </w:t>
      </w:r>
      <w:r>
        <w:rPr>
          <w:lang w:val="en"/>
        </w:rPr>
        <w:t>As from March 2019</w:t>
      </w:r>
      <w:r w:rsidR="002979B5">
        <w:rPr>
          <w:lang w:val="en"/>
        </w:rPr>
        <w:t>, 29</w:t>
      </w:r>
      <w:r>
        <w:rPr>
          <w:lang w:val="en"/>
        </w:rPr>
        <w:t xml:space="preserve"> new </w:t>
      </w:r>
      <w:proofErr w:type="gramStart"/>
      <w:r>
        <w:rPr>
          <w:lang w:val="en"/>
        </w:rPr>
        <w:t>aid</w:t>
      </w:r>
      <w:proofErr w:type="gramEnd"/>
      <w:r>
        <w:rPr>
          <w:lang w:val="en"/>
        </w:rPr>
        <w:t xml:space="preserve"> should therefore no longer be notified to the Commission, but to the CMA. Similarly, aid already notified to the Co</w:t>
      </w:r>
      <w:r>
        <w:rPr>
          <w:lang w:val="en"/>
        </w:rPr>
        <w:t>m</w:t>
      </w:r>
      <w:r>
        <w:rPr>
          <w:lang w:val="en"/>
        </w:rPr>
        <w:t>mission, which has not yet been decided on March 2019,</w:t>
      </w:r>
      <w:r w:rsidR="002979B5">
        <w:rPr>
          <w:lang w:val="en"/>
        </w:rPr>
        <w:t xml:space="preserve"> 29</w:t>
      </w:r>
      <w:r>
        <w:rPr>
          <w:lang w:val="en"/>
        </w:rPr>
        <w:t xml:space="preserve"> will have to be submitted again to the CMA for approval. Commission approval decisions and group exemptions adopted before March 2019</w:t>
      </w:r>
      <w:r w:rsidR="002979B5">
        <w:rPr>
          <w:lang w:val="en"/>
        </w:rPr>
        <w:t>, 29</w:t>
      </w:r>
      <w:r>
        <w:rPr>
          <w:lang w:val="en"/>
        </w:rPr>
        <w:t xml:space="preserve"> </w:t>
      </w:r>
      <w:r w:rsidR="006F0C67">
        <w:rPr>
          <w:lang w:val="en"/>
        </w:rPr>
        <w:t xml:space="preserve">will </w:t>
      </w:r>
      <w:r>
        <w:rPr>
          <w:lang w:val="en"/>
        </w:rPr>
        <w:t>remain valid.</w:t>
      </w:r>
      <w:r w:rsidR="00AD6C11">
        <w:rPr>
          <w:rStyle w:val="Funotenzeichen"/>
        </w:rPr>
        <w:footnoteReference w:id="38"/>
      </w:r>
    </w:p>
    <w:p w14:paraId="6810D804" w14:textId="77777777" w:rsidR="008E68CC" w:rsidRDefault="008E68CC" w:rsidP="0018082A">
      <w:pPr>
        <w:spacing w:line="360" w:lineRule="auto"/>
        <w:ind w:right="-2"/>
        <w:jc w:val="both"/>
        <w:rPr>
          <w:b/>
        </w:rPr>
      </w:pPr>
    </w:p>
    <w:p w14:paraId="4D8C6389" w14:textId="29F3A691" w:rsidR="00A755B1" w:rsidRPr="00064EC4" w:rsidRDefault="00004950" w:rsidP="0018082A">
      <w:pPr>
        <w:spacing w:line="360" w:lineRule="auto"/>
        <w:ind w:right="-2"/>
        <w:jc w:val="both"/>
        <w:rPr>
          <w:b/>
        </w:rPr>
      </w:pPr>
      <w:r>
        <w:rPr>
          <w:b/>
        </w:rPr>
        <w:t>3</w:t>
      </w:r>
      <w:r w:rsidR="00D361B7">
        <w:rPr>
          <w:b/>
        </w:rPr>
        <w:t>.</w:t>
      </w:r>
      <w:r w:rsidR="00A755B1" w:rsidRPr="00064EC4">
        <w:rPr>
          <w:b/>
        </w:rPr>
        <w:t xml:space="preserve"> </w:t>
      </w:r>
      <w:r w:rsidR="00BC34B1" w:rsidRPr="00064EC4">
        <w:rPr>
          <w:b/>
        </w:rPr>
        <w:t xml:space="preserve">Private </w:t>
      </w:r>
      <w:proofErr w:type="spellStart"/>
      <w:r w:rsidR="000E4764">
        <w:rPr>
          <w:b/>
        </w:rPr>
        <w:t>Enforcment</w:t>
      </w:r>
      <w:proofErr w:type="spellEnd"/>
      <w:r w:rsidR="000E4764">
        <w:rPr>
          <w:b/>
        </w:rPr>
        <w:t xml:space="preserve"> in Case </w:t>
      </w:r>
      <w:proofErr w:type="spellStart"/>
      <w:r w:rsidR="000E4764">
        <w:rPr>
          <w:b/>
        </w:rPr>
        <w:t>of</w:t>
      </w:r>
      <w:proofErr w:type="spellEnd"/>
      <w:r w:rsidR="000E4764">
        <w:rPr>
          <w:b/>
        </w:rPr>
        <w:t xml:space="preserve"> </w:t>
      </w:r>
      <w:proofErr w:type="spellStart"/>
      <w:r w:rsidR="000E4764">
        <w:rPr>
          <w:b/>
        </w:rPr>
        <w:t>Violations</w:t>
      </w:r>
      <w:proofErr w:type="spellEnd"/>
      <w:r w:rsidR="000E4764">
        <w:rPr>
          <w:b/>
        </w:rPr>
        <w:t xml:space="preserve"> </w:t>
      </w:r>
      <w:proofErr w:type="spellStart"/>
      <w:r w:rsidR="000E4764">
        <w:rPr>
          <w:b/>
        </w:rPr>
        <w:t>of</w:t>
      </w:r>
      <w:proofErr w:type="spellEnd"/>
      <w:r w:rsidR="000E4764">
        <w:rPr>
          <w:b/>
        </w:rPr>
        <w:t xml:space="preserve"> </w:t>
      </w:r>
      <w:proofErr w:type="spellStart"/>
      <w:r w:rsidR="000E4764">
        <w:rPr>
          <w:b/>
        </w:rPr>
        <w:t>the</w:t>
      </w:r>
      <w:proofErr w:type="spellEnd"/>
      <w:r w:rsidR="000E4764">
        <w:rPr>
          <w:b/>
        </w:rPr>
        <w:t xml:space="preserve"> Standstill </w:t>
      </w:r>
      <w:proofErr w:type="spellStart"/>
      <w:r w:rsidR="000E4764">
        <w:rPr>
          <w:b/>
        </w:rPr>
        <w:t>Clause</w:t>
      </w:r>
      <w:proofErr w:type="spellEnd"/>
      <w:r w:rsidR="000E4764">
        <w:rPr>
          <w:b/>
        </w:rPr>
        <w:t xml:space="preserve"> </w:t>
      </w:r>
      <w:proofErr w:type="spellStart"/>
      <w:r w:rsidR="000E4764">
        <w:rPr>
          <w:b/>
        </w:rPr>
        <w:t>or</w:t>
      </w:r>
      <w:proofErr w:type="spellEnd"/>
      <w:r w:rsidR="000E4764">
        <w:rPr>
          <w:b/>
        </w:rPr>
        <w:t xml:space="preserve"> </w:t>
      </w:r>
      <w:proofErr w:type="spellStart"/>
      <w:r w:rsidR="000E4764">
        <w:rPr>
          <w:b/>
        </w:rPr>
        <w:t>of</w:t>
      </w:r>
      <w:proofErr w:type="spellEnd"/>
      <w:r w:rsidR="000E4764">
        <w:rPr>
          <w:b/>
        </w:rPr>
        <w:t xml:space="preserve"> Negative </w:t>
      </w:r>
      <w:proofErr w:type="spellStart"/>
      <w:r w:rsidR="000E4764">
        <w:rPr>
          <w:b/>
        </w:rPr>
        <w:t>Dec</w:t>
      </w:r>
      <w:r w:rsidR="000E4764">
        <w:rPr>
          <w:b/>
        </w:rPr>
        <w:t>i</w:t>
      </w:r>
      <w:r w:rsidR="000E4764">
        <w:rPr>
          <w:b/>
        </w:rPr>
        <w:t>sions</w:t>
      </w:r>
      <w:proofErr w:type="spellEnd"/>
      <w:r w:rsidR="000E4764">
        <w:rPr>
          <w:b/>
        </w:rPr>
        <w:t xml:space="preserve"> in Old Cases</w:t>
      </w:r>
    </w:p>
    <w:p w14:paraId="2FC7081A" w14:textId="77777777" w:rsidR="00A755B1" w:rsidRPr="00064EC4" w:rsidRDefault="00A755B1" w:rsidP="0018082A">
      <w:pPr>
        <w:spacing w:line="360" w:lineRule="auto"/>
        <w:ind w:right="-2"/>
        <w:jc w:val="both"/>
      </w:pPr>
    </w:p>
    <w:p w14:paraId="4BCE405E" w14:textId="1FC31521" w:rsidR="003165ED" w:rsidRPr="00064EC4" w:rsidRDefault="00D361B7" w:rsidP="0018082A">
      <w:pPr>
        <w:spacing w:line="360" w:lineRule="auto"/>
        <w:jc w:val="both"/>
        <w:rPr>
          <w:b/>
        </w:rPr>
      </w:pPr>
      <w:r>
        <w:rPr>
          <w:b/>
        </w:rPr>
        <w:t>a)</w:t>
      </w:r>
      <w:r w:rsidR="003165ED" w:rsidRPr="00064EC4">
        <w:rPr>
          <w:b/>
        </w:rPr>
        <w:t xml:space="preserve"> </w:t>
      </w:r>
      <w:proofErr w:type="spellStart"/>
      <w:r w:rsidR="00910F1E">
        <w:rPr>
          <w:b/>
        </w:rPr>
        <w:t>Enforcement</w:t>
      </w:r>
      <w:proofErr w:type="spellEnd"/>
      <w:r w:rsidR="00910F1E">
        <w:rPr>
          <w:b/>
        </w:rPr>
        <w:t xml:space="preserve"> </w:t>
      </w:r>
      <w:proofErr w:type="spellStart"/>
      <w:r w:rsidR="00910F1E">
        <w:rPr>
          <w:b/>
        </w:rPr>
        <w:t>by</w:t>
      </w:r>
      <w:proofErr w:type="spellEnd"/>
      <w:r w:rsidR="00910F1E">
        <w:rPr>
          <w:b/>
        </w:rPr>
        <w:t xml:space="preserve"> British Courts</w:t>
      </w:r>
    </w:p>
    <w:p w14:paraId="32F71430" w14:textId="77777777" w:rsidR="003165ED" w:rsidRPr="00064EC4" w:rsidRDefault="003165ED" w:rsidP="0018082A">
      <w:pPr>
        <w:spacing w:line="360" w:lineRule="auto"/>
        <w:jc w:val="both"/>
      </w:pPr>
    </w:p>
    <w:p w14:paraId="241846BD" w14:textId="51367304" w:rsidR="002D2503" w:rsidRPr="00064EC4" w:rsidRDefault="003113CC" w:rsidP="0018082A">
      <w:pPr>
        <w:spacing w:line="360" w:lineRule="auto"/>
        <w:jc w:val="both"/>
      </w:pPr>
      <w:r>
        <w:rPr>
          <w:lang w:val="en"/>
        </w:rPr>
        <w:t xml:space="preserve">With the withdrawal of the United Kingdom from the EU, the question arises as to whether and to what extent British courts have to sanction any failure of compliance with the standstill clause stipulated in Art. 108 (3) TFEU and Article 3 of Reg. 2015/1589, that may have taken place before exit date. It is clear that the United Kingdom is no longer bound by these rules after leaving the EU. While this does not undo </w:t>
      </w:r>
      <w:r w:rsidR="00873A95">
        <w:rPr>
          <w:lang w:val="en"/>
        </w:rPr>
        <w:t xml:space="preserve">in a substantial sense </w:t>
      </w:r>
      <w:r>
        <w:rPr>
          <w:lang w:val="en"/>
        </w:rPr>
        <w:t xml:space="preserve">the eventual breach of the standstill clause by the United Kingdom at a time when it still had to comply with EU State aid law, it is not possible to assume a legal obligation of British courts to neutralize State aids granted in violation of EU law, as the United Kingdom including its courts, is no longer subject to any obligations under EU law, </w:t>
      </w:r>
      <w:r w:rsidR="000350DE">
        <w:rPr>
          <w:lang w:val="en"/>
        </w:rPr>
        <w:t>even if the handling of issues from the time before withdrawal is concerned</w:t>
      </w:r>
      <w:r>
        <w:rPr>
          <w:lang w:val="en"/>
        </w:rPr>
        <w:t>.</w:t>
      </w:r>
      <w:r w:rsidR="00873A95">
        <w:rPr>
          <w:rStyle w:val="Funotenzeichen"/>
        </w:rPr>
        <w:footnoteReference w:id="39"/>
      </w:r>
    </w:p>
    <w:p w14:paraId="0FD8EF04" w14:textId="77777777" w:rsidR="002D2503" w:rsidRPr="00064EC4" w:rsidRDefault="002D2503" w:rsidP="0018082A">
      <w:pPr>
        <w:spacing w:line="360" w:lineRule="auto"/>
        <w:jc w:val="both"/>
      </w:pPr>
    </w:p>
    <w:p w14:paraId="0342D198" w14:textId="0E5E586A" w:rsidR="00856CE1" w:rsidRPr="00064EC4" w:rsidRDefault="00CC152D" w:rsidP="00CE3DA7">
      <w:pPr>
        <w:spacing w:line="360" w:lineRule="auto"/>
        <w:jc w:val="both"/>
      </w:pPr>
      <w:r>
        <w:rPr>
          <w:lang w:val="en"/>
        </w:rPr>
        <w:t>However, the European Union (Withdrawal) Act 2018 of June</w:t>
      </w:r>
      <w:r w:rsidR="00D7580E">
        <w:rPr>
          <w:lang w:val="en"/>
        </w:rPr>
        <w:t xml:space="preserve"> 26,</w:t>
      </w:r>
      <w:r>
        <w:rPr>
          <w:lang w:val="en"/>
        </w:rPr>
        <w:t xml:space="preserve"> 2018</w:t>
      </w:r>
      <w:r w:rsidR="00781628" w:rsidRPr="00064EC4">
        <w:rPr>
          <w:rStyle w:val="Funotenzeichen"/>
        </w:rPr>
        <w:footnoteReference w:id="40"/>
      </w:r>
      <w:r>
        <w:rPr>
          <w:lang w:val="en"/>
        </w:rPr>
        <w:t xml:space="preserve"> indicates that the UK will continue to </w:t>
      </w:r>
      <w:r w:rsidR="00D7580E">
        <w:rPr>
          <w:lang w:val="en"/>
        </w:rPr>
        <w:t xml:space="preserve">grant effectiveness to legally acquired rights under EU law even </w:t>
      </w:r>
      <w:r>
        <w:rPr>
          <w:lang w:val="en"/>
        </w:rPr>
        <w:t>beyond the date of withdrawal and will continue to sanction breaches of the standstill rule</w:t>
      </w:r>
      <w:r w:rsidR="00D7580E">
        <w:rPr>
          <w:lang w:val="en"/>
        </w:rPr>
        <w:t xml:space="preserve"> that have taken place</w:t>
      </w:r>
      <w:r>
        <w:rPr>
          <w:lang w:val="en"/>
        </w:rPr>
        <w:t xml:space="preserve"> prior to Brexit. According to Chapter 16 Clause 4 (1) of the EU Withdrawal Act, the </w:t>
      </w:r>
      <w:r w:rsidR="00AC2BC9">
        <w:rPr>
          <w:lang w:val="en"/>
        </w:rPr>
        <w:t xml:space="preserve">directly effective </w:t>
      </w:r>
      <w:r>
        <w:rPr>
          <w:lang w:val="en"/>
        </w:rPr>
        <w:t xml:space="preserve">rights ensuing from the EU </w:t>
      </w:r>
      <w:r w:rsidR="00D7580E">
        <w:rPr>
          <w:lang w:val="en"/>
        </w:rPr>
        <w:t>T</w:t>
      </w:r>
      <w:r>
        <w:rPr>
          <w:lang w:val="en"/>
        </w:rPr>
        <w:t>reaties</w:t>
      </w:r>
      <w:r w:rsidR="00AC2BC9">
        <w:rPr>
          <w:lang w:val="en"/>
        </w:rPr>
        <w:t>,</w:t>
      </w:r>
      <w:r w:rsidR="00D7580E">
        <w:rPr>
          <w:lang w:val="en"/>
        </w:rPr>
        <w:t xml:space="preserve"> </w:t>
      </w:r>
      <w:r>
        <w:rPr>
          <w:lang w:val="en"/>
        </w:rPr>
        <w:t xml:space="preserve">which </w:t>
      </w:r>
      <w:r w:rsidR="00D7580E">
        <w:rPr>
          <w:lang w:val="en"/>
        </w:rPr>
        <w:t>are available and recognized immediately before exit day, shall</w:t>
      </w:r>
      <w:r>
        <w:rPr>
          <w:lang w:val="en"/>
        </w:rPr>
        <w:t xml:space="preserve"> continue to be recognized and enforceable. This is rea</w:t>
      </w:r>
      <w:r>
        <w:rPr>
          <w:lang w:val="en"/>
        </w:rPr>
        <w:t>f</w:t>
      </w:r>
      <w:r>
        <w:rPr>
          <w:lang w:val="en"/>
        </w:rPr>
        <w:t xml:space="preserve">firmed in point 87 of the </w:t>
      </w:r>
      <w:r w:rsidR="00D7580E">
        <w:rPr>
          <w:lang w:val="en"/>
        </w:rPr>
        <w:t>European Union (Withdrawal) Bill E</w:t>
      </w:r>
      <w:r>
        <w:rPr>
          <w:lang w:val="en"/>
        </w:rPr>
        <w:t xml:space="preserve">xplanatory </w:t>
      </w:r>
      <w:r w:rsidR="00D7580E">
        <w:rPr>
          <w:lang w:val="en"/>
        </w:rPr>
        <w:t>Notes</w:t>
      </w:r>
      <w:r w:rsidR="00781628" w:rsidRPr="00064EC4">
        <w:rPr>
          <w:rStyle w:val="Funotenzeichen"/>
        </w:rPr>
        <w:footnoteReference w:id="41"/>
      </w:r>
      <w:r>
        <w:rPr>
          <w:lang w:val="en"/>
        </w:rPr>
        <w:t xml:space="preserve"> </w:t>
      </w:r>
      <w:r w:rsidR="00D7580E">
        <w:rPr>
          <w:lang w:val="en"/>
        </w:rPr>
        <w:t xml:space="preserve">prepared </w:t>
      </w:r>
      <w:r>
        <w:rPr>
          <w:lang w:val="en"/>
        </w:rPr>
        <w:t xml:space="preserve">by the Department for Exiting the European Union. Point 89 of the </w:t>
      </w:r>
      <w:r w:rsidR="00D7580E">
        <w:rPr>
          <w:lang w:val="en"/>
        </w:rPr>
        <w:t>Explanatory N</w:t>
      </w:r>
      <w:r>
        <w:rPr>
          <w:lang w:val="en"/>
        </w:rPr>
        <w:t xml:space="preserve">otes contains an </w:t>
      </w:r>
      <w:r w:rsidR="00AC2BC9">
        <w:rPr>
          <w:lang w:val="en"/>
        </w:rPr>
        <w:t>illustrative, non-exhaustive</w:t>
      </w:r>
      <w:r>
        <w:rPr>
          <w:lang w:val="en"/>
        </w:rPr>
        <w:t xml:space="preserve"> list of provisions of the TFEU granting direct</w:t>
      </w:r>
      <w:r w:rsidR="00AC2BC9">
        <w:rPr>
          <w:lang w:val="en"/>
        </w:rPr>
        <w:t>ly effective</w:t>
      </w:r>
      <w:r>
        <w:rPr>
          <w:lang w:val="en"/>
        </w:rPr>
        <w:t xml:space="preserve"> rights covered by Clause 4 (1) EU Withdrawal Act; </w:t>
      </w:r>
      <w:r w:rsidR="00AC2BC9">
        <w:rPr>
          <w:lang w:val="en"/>
        </w:rPr>
        <w:t xml:space="preserve">the </w:t>
      </w:r>
      <w:r>
        <w:rPr>
          <w:lang w:val="en"/>
        </w:rPr>
        <w:t>Article</w:t>
      </w:r>
      <w:r w:rsidR="00AC2BC9">
        <w:rPr>
          <w:lang w:val="en"/>
        </w:rPr>
        <w:t>s</w:t>
      </w:r>
      <w:r>
        <w:rPr>
          <w:lang w:val="en"/>
        </w:rPr>
        <w:t xml:space="preserve"> 107 (1) </w:t>
      </w:r>
      <w:r w:rsidR="00AC2BC9">
        <w:rPr>
          <w:lang w:val="en"/>
        </w:rPr>
        <w:t>and</w:t>
      </w:r>
      <w:r>
        <w:rPr>
          <w:lang w:val="en"/>
        </w:rPr>
        <w:t xml:space="preserve"> 108 (3) TFEU are e</w:t>
      </w:r>
      <w:r>
        <w:rPr>
          <w:lang w:val="en"/>
        </w:rPr>
        <w:t>x</w:t>
      </w:r>
      <w:r>
        <w:rPr>
          <w:lang w:val="en"/>
        </w:rPr>
        <w:t xml:space="preserve">pressly mentioned therein. However, it should be noted that </w:t>
      </w:r>
      <w:r w:rsidR="0030522E">
        <w:rPr>
          <w:lang w:val="en"/>
        </w:rPr>
        <w:t xml:space="preserve">the prohibition contained </w:t>
      </w:r>
      <w:r w:rsidR="00237D47">
        <w:rPr>
          <w:lang w:val="en"/>
        </w:rPr>
        <w:t xml:space="preserve">in </w:t>
      </w:r>
      <w:r>
        <w:rPr>
          <w:lang w:val="en"/>
        </w:rPr>
        <w:t>Art</w:t>
      </w:r>
      <w:r>
        <w:rPr>
          <w:lang w:val="en"/>
        </w:rPr>
        <w:t>i</w:t>
      </w:r>
      <w:r>
        <w:rPr>
          <w:lang w:val="en"/>
        </w:rPr>
        <w:t xml:space="preserve">cle 107 (1) TFEU is not directly applicable </w:t>
      </w:r>
      <w:r w:rsidR="0030522E">
        <w:rPr>
          <w:lang w:val="en"/>
        </w:rPr>
        <w:t>as it is neither absolute nor unconditional.</w:t>
      </w:r>
      <w:r w:rsidR="00781628" w:rsidRPr="00064EC4">
        <w:rPr>
          <w:rStyle w:val="Funotenzeichen"/>
        </w:rPr>
        <w:footnoteReference w:id="42"/>
      </w:r>
      <w:r w:rsidR="0030522E">
        <w:rPr>
          <w:lang w:val="en"/>
        </w:rPr>
        <w:t xml:space="preserve"> A</w:t>
      </w:r>
      <w:r w:rsidR="00DB4A71">
        <w:rPr>
          <w:lang w:val="en"/>
        </w:rPr>
        <w:t>n</w:t>
      </w:r>
      <w:r>
        <w:rPr>
          <w:lang w:val="en"/>
        </w:rPr>
        <w:t xml:space="preserve"> individual</w:t>
      </w:r>
      <w:r w:rsidR="00DB4A71">
        <w:rPr>
          <w:lang w:val="en"/>
        </w:rPr>
        <w:t xml:space="preserve"> </w:t>
      </w:r>
      <w:r>
        <w:rPr>
          <w:lang w:val="en"/>
        </w:rPr>
        <w:t>competitor</w:t>
      </w:r>
      <w:r w:rsidR="00781628" w:rsidRPr="00064EC4">
        <w:rPr>
          <w:rStyle w:val="Funotenzeichen"/>
        </w:rPr>
        <w:footnoteReference w:id="43"/>
      </w:r>
      <w:r>
        <w:rPr>
          <w:lang w:val="en"/>
        </w:rPr>
        <w:t xml:space="preserve"> can</w:t>
      </w:r>
      <w:r w:rsidR="00DB4A71">
        <w:rPr>
          <w:lang w:val="en"/>
        </w:rPr>
        <w:t xml:space="preserve"> only</w:t>
      </w:r>
      <w:r>
        <w:rPr>
          <w:lang w:val="en"/>
        </w:rPr>
        <w:t xml:space="preserve"> </w:t>
      </w:r>
      <w:r w:rsidR="00237D47">
        <w:rPr>
          <w:lang w:val="en"/>
        </w:rPr>
        <w:t>rely on</w:t>
      </w:r>
      <w:r>
        <w:rPr>
          <w:lang w:val="en"/>
        </w:rPr>
        <w:t xml:space="preserve"> Article 107 (1) TFEU </w:t>
      </w:r>
      <w:r w:rsidR="00DB4A71">
        <w:rPr>
          <w:lang w:val="en"/>
        </w:rPr>
        <w:t>where</w:t>
      </w:r>
      <w:r>
        <w:rPr>
          <w:lang w:val="en"/>
        </w:rPr>
        <w:t xml:space="preserve"> the European Commi</w:t>
      </w:r>
      <w:r>
        <w:rPr>
          <w:lang w:val="en"/>
        </w:rPr>
        <w:t>s</w:t>
      </w:r>
      <w:r>
        <w:rPr>
          <w:lang w:val="en"/>
        </w:rPr>
        <w:t>sion</w:t>
      </w:r>
      <w:r w:rsidR="00687CB3">
        <w:rPr>
          <w:lang w:val="en"/>
        </w:rPr>
        <w:t>, while making use of its exclusive competence and responsibility</w:t>
      </w:r>
      <w:r w:rsidR="00781628" w:rsidRPr="00064EC4">
        <w:rPr>
          <w:rStyle w:val="Funotenzeichen"/>
        </w:rPr>
        <w:footnoteReference w:id="44"/>
      </w:r>
      <w:r w:rsidR="00687CB3">
        <w:rPr>
          <w:lang w:val="en"/>
        </w:rPr>
        <w:t xml:space="preserve"> that </w:t>
      </w:r>
      <w:r w:rsidR="00237D47">
        <w:rPr>
          <w:lang w:val="en"/>
        </w:rPr>
        <w:t xml:space="preserve">will </w:t>
      </w:r>
      <w:r w:rsidR="00687CB3">
        <w:rPr>
          <w:lang w:val="en"/>
        </w:rPr>
        <w:t>continue to apply to the UK until the date of effectiveness of it</w:t>
      </w:r>
      <w:r>
        <w:rPr>
          <w:lang w:val="en"/>
        </w:rPr>
        <w:t>s withdrawal from the EU</w:t>
      </w:r>
      <w:r w:rsidR="00687CB3">
        <w:rPr>
          <w:lang w:val="en"/>
        </w:rPr>
        <w:t>, has declared</w:t>
      </w:r>
      <w:r w:rsidR="0030522E">
        <w:rPr>
          <w:lang w:val="en"/>
        </w:rPr>
        <w:t xml:space="preserve"> a State aid measure to be</w:t>
      </w:r>
      <w:r w:rsidR="00687CB3">
        <w:rPr>
          <w:lang w:val="en"/>
        </w:rPr>
        <w:t xml:space="preserve"> incompatible </w:t>
      </w:r>
      <w:r>
        <w:rPr>
          <w:lang w:val="en"/>
        </w:rPr>
        <w:t xml:space="preserve">with the internal market, thereby </w:t>
      </w:r>
      <w:r w:rsidR="004B7DB9">
        <w:rPr>
          <w:lang w:val="en"/>
        </w:rPr>
        <w:t>implement</w:t>
      </w:r>
      <w:r>
        <w:rPr>
          <w:lang w:val="en"/>
        </w:rPr>
        <w:t>ing the pr</w:t>
      </w:r>
      <w:r>
        <w:rPr>
          <w:lang w:val="en"/>
        </w:rPr>
        <w:t>o</w:t>
      </w:r>
      <w:r>
        <w:rPr>
          <w:lang w:val="en"/>
        </w:rPr>
        <w:t>hibition of aid</w:t>
      </w:r>
      <w:r w:rsidR="00781628" w:rsidRPr="00064EC4">
        <w:rPr>
          <w:rStyle w:val="Funotenzeichen"/>
        </w:rPr>
        <w:footnoteReference w:id="45"/>
      </w:r>
      <w:r>
        <w:rPr>
          <w:lang w:val="en"/>
        </w:rPr>
        <w:t xml:space="preserve">. </w:t>
      </w:r>
      <w:r w:rsidR="00237D47">
        <w:rPr>
          <w:lang w:val="en"/>
        </w:rPr>
        <w:t xml:space="preserve">In the </w:t>
      </w:r>
      <w:r w:rsidR="00781628">
        <w:rPr>
          <w:lang w:val="en"/>
        </w:rPr>
        <w:t>aforementioned</w:t>
      </w:r>
      <w:r w:rsidR="00781628">
        <w:rPr>
          <w:rStyle w:val="Funotenzeichen"/>
        </w:rPr>
        <w:footnoteReference w:id="46"/>
      </w:r>
      <w:r w:rsidR="00781628">
        <w:rPr>
          <w:lang w:val="en"/>
        </w:rPr>
        <w:t xml:space="preserve"> </w:t>
      </w:r>
      <w:r w:rsidR="00237D47">
        <w:rPr>
          <w:lang w:val="en"/>
        </w:rPr>
        <w:t xml:space="preserve">Guidance notice “State aid if there’s no Brexit deal” of August 23, 2018, </w:t>
      </w:r>
      <w:r>
        <w:rPr>
          <w:lang w:val="en"/>
        </w:rPr>
        <w:t xml:space="preserve">the United Kingdom Government </w:t>
      </w:r>
      <w:r w:rsidR="00237D47">
        <w:rPr>
          <w:lang w:val="en"/>
        </w:rPr>
        <w:t>has confirmed this view</w:t>
      </w:r>
      <w:r>
        <w:rPr>
          <w:lang w:val="en"/>
        </w:rPr>
        <w:t>.</w:t>
      </w:r>
      <w:r w:rsidR="00781628">
        <w:rPr>
          <w:rStyle w:val="Funotenzeichen"/>
        </w:rPr>
        <w:footnoteReference w:id="47"/>
      </w:r>
    </w:p>
    <w:p w14:paraId="10561DC2" w14:textId="77777777" w:rsidR="002D2503" w:rsidRPr="00064EC4" w:rsidRDefault="002D2503" w:rsidP="0018082A">
      <w:pPr>
        <w:spacing w:line="360" w:lineRule="auto"/>
        <w:jc w:val="both"/>
      </w:pPr>
    </w:p>
    <w:p w14:paraId="449168C0" w14:textId="5C563AD1" w:rsidR="00146184" w:rsidRPr="00064EC4" w:rsidRDefault="00475200" w:rsidP="0018082A">
      <w:pPr>
        <w:spacing w:line="360" w:lineRule="auto"/>
        <w:jc w:val="both"/>
      </w:pPr>
      <w:r>
        <w:rPr>
          <w:lang w:val="en"/>
        </w:rPr>
        <w:t>It is quite likely, therefore, that British courts will, under national law, continue to take measures to prohibit the granting of benefits contrary to EU law</w:t>
      </w:r>
      <w:r w:rsidR="00370443">
        <w:rPr>
          <w:rStyle w:val="Funotenzeichen"/>
        </w:rPr>
        <w:footnoteReference w:id="48"/>
      </w:r>
      <w:r>
        <w:rPr>
          <w:lang w:val="en"/>
        </w:rPr>
        <w:t xml:space="preserve"> or to neutralize benefits granted to aid recipients in breach of EU law. </w:t>
      </w:r>
      <w:r w:rsidR="00391230">
        <w:rPr>
          <w:lang w:val="en"/>
        </w:rPr>
        <w:t>The</w:t>
      </w:r>
      <w:r>
        <w:rPr>
          <w:lang w:val="en"/>
        </w:rPr>
        <w:t xml:space="preserve"> neutralization</w:t>
      </w:r>
      <w:r w:rsidR="00391230">
        <w:rPr>
          <w:lang w:val="en"/>
        </w:rPr>
        <w:t xml:space="preserve"> of an aid</w:t>
      </w:r>
      <w:r>
        <w:rPr>
          <w:lang w:val="en"/>
        </w:rPr>
        <w:t xml:space="preserve"> could be achieved, for example, by requiring </w:t>
      </w:r>
      <w:r w:rsidR="00391230">
        <w:rPr>
          <w:lang w:val="en"/>
        </w:rPr>
        <w:t>the aid</w:t>
      </w:r>
      <w:r>
        <w:rPr>
          <w:lang w:val="en"/>
        </w:rPr>
        <w:t xml:space="preserve"> beneficiary to pay</w:t>
      </w:r>
      <w:r w:rsidR="00391230">
        <w:rPr>
          <w:lang w:val="en"/>
        </w:rPr>
        <w:t xml:space="preserve"> the average market interests on the amount of aid for the period of the State aid’s formal illegality, </w:t>
      </w:r>
      <w:proofErr w:type="spellStart"/>
      <w:r w:rsidR="00391230">
        <w:rPr>
          <w:lang w:val="en"/>
        </w:rPr>
        <w:t>i</w:t>
      </w:r>
      <w:proofErr w:type="spellEnd"/>
      <w:r w:rsidR="00391230">
        <w:rPr>
          <w:lang w:val="en"/>
        </w:rPr>
        <w:t xml:space="preserve">. e. the time </w:t>
      </w:r>
      <w:r>
        <w:rPr>
          <w:lang w:val="en"/>
        </w:rPr>
        <w:t xml:space="preserve">between the granting of the aid </w:t>
      </w:r>
      <w:r w:rsidR="00391230">
        <w:rPr>
          <w:lang w:val="en"/>
        </w:rPr>
        <w:t xml:space="preserve">in violation of the standstill clause </w:t>
      </w:r>
      <w:r>
        <w:rPr>
          <w:lang w:val="en"/>
        </w:rPr>
        <w:t>and the withdrawal</w:t>
      </w:r>
      <w:r w:rsidR="00391230">
        <w:rPr>
          <w:lang w:val="en"/>
        </w:rPr>
        <w:t xml:space="preserve"> of the UK. Doing this would prevent the State aid recipient to benefit of the temporary usage of the aid </w:t>
      </w:r>
      <w:r>
        <w:rPr>
          <w:lang w:val="en"/>
        </w:rPr>
        <w:t xml:space="preserve">for the period of breach of the standstill </w:t>
      </w:r>
      <w:r w:rsidR="00391230">
        <w:rPr>
          <w:lang w:val="en"/>
        </w:rPr>
        <w:t>clause</w:t>
      </w:r>
      <w:r>
        <w:rPr>
          <w:lang w:val="en"/>
        </w:rPr>
        <w:t>.</w:t>
      </w:r>
      <w:r w:rsidR="00370443" w:rsidRPr="00064EC4">
        <w:rPr>
          <w:rStyle w:val="Funotenzeichen"/>
        </w:rPr>
        <w:footnoteReference w:id="49"/>
      </w:r>
      <w:r>
        <w:rPr>
          <w:lang w:val="en"/>
        </w:rPr>
        <w:t xml:space="preserve"> It is, however, reasonable to assume that </w:t>
      </w:r>
      <w:r w:rsidR="00391230">
        <w:rPr>
          <w:lang w:val="en"/>
        </w:rPr>
        <w:t>from the moment of Brexit, any</w:t>
      </w:r>
      <w:r>
        <w:rPr>
          <w:lang w:val="en"/>
        </w:rPr>
        <w:t xml:space="preserve"> infringe</w:t>
      </w:r>
      <w:r w:rsidR="00391230">
        <w:rPr>
          <w:lang w:val="en"/>
        </w:rPr>
        <w:t>ment of</w:t>
      </w:r>
      <w:r>
        <w:rPr>
          <w:lang w:val="en"/>
        </w:rPr>
        <w:t xml:space="preserve"> Article 108 (3) TFEU </w:t>
      </w:r>
      <w:r w:rsidR="004679CD">
        <w:rPr>
          <w:lang w:val="en"/>
        </w:rPr>
        <w:t>wi</w:t>
      </w:r>
      <w:r w:rsidR="00391230">
        <w:rPr>
          <w:lang w:val="en"/>
        </w:rPr>
        <w:t>l</w:t>
      </w:r>
      <w:r w:rsidR="004679CD">
        <w:rPr>
          <w:lang w:val="en"/>
        </w:rPr>
        <w:t xml:space="preserve">l continue to be considered illegal, as it will constitute </w:t>
      </w:r>
      <w:r>
        <w:rPr>
          <w:lang w:val="en"/>
        </w:rPr>
        <w:t>a breach of the then existing standstill requirement under UK law</w:t>
      </w:r>
      <w:r w:rsidR="00370443">
        <w:rPr>
          <w:rStyle w:val="Funotenzeichen"/>
        </w:rPr>
        <w:footnoteReference w:id="50"/>
      </w:r>
      <w:r w:rsidR="004679CD">
        <w:rPr>
          <w:lang w:val="en"/>
        </w:rPr>
        <w:t xml:space="preserve">, given the commitment of the British government to transpose </w:t>
      </w:r>
      <w:r>
        <w:rPr>
          <w:lang w:val="en"/>
        </w:rPr>
        <w:t xml:space="preserve">Article 108 (3) TFEU, </w:t>
      </w:r>
      <w:r w:rsidR="004679CD">
        <w:rPr>
          <w:lang w:val="en"/>
        </w:rPr>
        <w:t>as well as</w:t>
      </w:r>
      <w:r>
        <w:rPr>
          <w:lang w:val="en"/>
        </w:rPr>
        <w:t xml:space="preserve"> the other State aid rules</w:t>
      </w:r>
      <w:r w:rsidR="004679CD">
        <w:rPr>
          <w:lang w:val="en"/>
        </w:rPr>
        <w:t>,</w:t>
      </w:r>
      <w:r>
        <w:rPr>
          <w:lang w:val="en"/>
        </w:rPr>
        <w:t xml:space="preserve"> into national law and</w:t>
      </w:r>
      <w:r w:rsidR="004679CD">
        <w:rPr>
          <w:lang w:val="en"/>
        </w:rPr>
        <w:t xml:space="preserve"> the fact</w:t>
      </w:r>
      <w:r>
        <w:rPr>
          <w:lang w:val="en"/>
        </w:rPr>
        <w:t xml:space="preserve"> that the CMA will exercise State aid supervision from the date of withdrawal</w:t>
      </w:r>
      <w:r w:rsidR="00370443">
        <w:rPr>
          <w:rStyle w:val="Funotenzeichen"/>
        </w:rPr>
        <w:footnoteReference w:id="51"/>
      </w:r>
      <w:r>
        <w:rPr>
          <w:lang w:val="en"/>
        </w:rPr>
        <w:t xml:space="preserve">. Against this background, it </w:t>
      </w:r>
      <w:r w:rsidR="004B7DB9">
        <w:rPr>
          <w:lang w:val="en"/>
        </w:rPr>
        <w:t>can be a</w:t>
      </w:r>
      <w:r w:rsidR="004B7DB9">
        <w:rPr>
          <w:lang w:val="en"/>
        </w:rPr>
        <w:t>s</w:t>
      </w:r>
      <w:r w:rsidR="004B7DB9">
        <w:rPr>
          <w:lang w:val="en"/>
        </w:rPr>
        <w:t>sumed</w:t>
      </w:r>
      <w:r>
        <w:rPr>
          <w:lang w:val="en"/>
        </w:rPr>
        <w:t xml:space="preserve"> that </w:t>
      </w:r>
      <w:r w:rsidR="004B7DB9">
        <w:rPr>
          <w:lang w:val="en"/>
        </w:rPr>
        <w:t xml:space="preserve">British </w:t>
      </w:r>
      <w:r>
        <w:rPr>
          <w:lang w:val="en"/>
        </w:rPr>
        <w:t>courts will also consider repayment orders, unless the aid has been a</w:t>
      </w:r>
      <w:r>
        <w:rPr>
          <w:lang w:val="en"/>
        </w:rPr>
        <w:t>p</w:t>
      </w:r>
      <w:r>
        <w:rPr>
          <w:lang w:val="en"/>
        </w:rPr>
        <w:t>proved in the meantime.</w:t>
      </w:r>
      <w:r w:rsidR="00370443" w:rsidRPr="00064EC4">
        <w:rPr>
          <w:rStyle w:val="Funotenzeichen"/>
        </w:rPr>
        <w:footnoteReference w:id="52"/>
      </w:r>
      <w:r>
        <w:rPr>
          <w:lang w:val="en"/>
        </w:rPr>
        <w:t xml:space="preserve"> In addition, there may be claims for damages from competitors </w:t>
      </w:r>
      <w:r w:rsidR="004B7DB9">
        <w:rPr>
          <w:lang w:val="en"/>
        </w:rPr>
        <w:t>for having been</w:t>
      </w:r>
      <w:r>
        <w:rPr>
          <w:lang w:val="en"/>
        </w:rPr>
        <w:t xml:space="preserve"> exposed to the aid at an earlier date than </w:t>
      </w:r>
      <w:r w:rsidR="004B7DB9">
        <w:rPr>
          <w:lang w:val="en"/>
        </w:rPr>
        <w:t>would have been</w:t>
      </w:r>
      <w:r>
        <w:rPr>
          <w:lang w:val="en"/>
        </w:rPr>
        <w:t xml:space="preserve"> the case </w:t>
      </w:r>
      <w:r w:rsidR="004B7DB9">
        <w:rPr>
          <w:lang w:val="en"/>
        </w:rPr>
        <w:t>if</w:t>
      </w:r>
      <w:r>
        <w:rPr>
          <w:lang w:val="en"/>
        </w:rPr>
        <w:t xml:space="preserve"> the stan</w:t>
      </w:r>
      <w:r>
        <w:rPr>
          <w:lang w:val="en"/>
        </w:rPr>
        <w:t>d</w:t>
      </w:r>
      <w:r>
        <w:rPr>
          <w:lang w:val="en"/>
        </w:rPr>
        <w:t xml:space="preserve">still requirement based initially on Article 108 (3) TFEU and </w:t>
      </w:r>
      <w:r w:rsidR="004B7DB9">
        <w:rPr>
          <w:lang w:val="en"/>
        </w:rPr>
        <w:t>fr</w:t>
      </w:r>
      <w:r>
        <w:rPr>
          <w:lang w:val="en"/>
        </w:rPr>
        <w:t>o</w:t>
      </w:r>
      <w:r w:rsidR="004B7DB9">
        <w:rPr>
          <w:lang w:val="en"/>
        </w:rPr>
        <w:t>m</w:t>
      </w:r>
      <w:r>
        <w:rPr>
          <w:lang w:val="en"/>
        </w:rPr>
        <w:t xml:space="preserve"> March</w:t>
      </w:r>
      <w:r w:rsidR="004B7DB9">
        <w:rPr>
          <w:lang w:val="en"/>
        </w:rPr>
        <w:t xml:space="preserve"> 29,</w:t>
      </w:r>
      <w:r>
        <w:rPr>
          <w:lang w:val="en"/>
        </w:rPr>
        <w:t xml:space="preserve"> 2019 </w:t>
      </w:r>
      <w:r w:rsidR="004B7DB9">
        <w:rPr>
          <w:lang w:val="en"/>
        </w:rPr>
        <w:t xml:space="preserve">on </w:t>
      </w:r>
      <w:r>
        <w:rPr>
          <w:lang w:val="en"/>
        </w:rPr>
        <w:t>natio</w:t>
      </w:r>
      <w:r>
        <w:rPr>
          <w:lang w:val="en"/>
        </w:rPr>
        <w:t>n</w:t>
      </w:r>
      <w:r>
        <w:rPr>
          <w:lang w:val="en"/>
        </w:rPr>
        <w:t>al law</w:t>
      </w:r>
      <w:r w:rsidR="004B7DB9">
        <w:rPr>
          <w:lang w:val="en"/>
        </w:rPr>
        <w:t>,</w:t>
      </w:r>
      <w:r>
        <w:rPr>
          <w:lang w:val="en"/>
        </w:rPr>
        <w:t xml:space="preserve"> </w:t>
      </w:r>
      <w:r w:rsidR="004B7DB9">
        <w:rPr>
          <w:lang w:val="en"/>
        </w:rPr>
        <w:t>had been</w:t>
      </w:r>
      <w:r>
        <w:rPr>
          <w:lang w:val="en"/>
        </w:rPr>
        <w:t xml:space="preserve"> respected.</w:t>
      </w:r>
      <w:r w:rsidR="00370443" w:rsidRPr="00064EC4">
        <w:rPr>
          <w:rStyle w:val="Funotenzeichen"/>
        </w:rPr>
        <w:footnoteReference w:id="53"/>
      </w:r>
      <w:r>
        <w:rPr>
          <w:lang w:val="en"/>
        </w:rPr>
        <w:t xml:space="preserve"> The same applies to aid introduced before Brexit in spite of a negative decision taken by the Commission pur</w:t>
      </w:r>
      <w:r w:rsidR="004B7DB9">
        <w:rPr>
          <w:lang w:val="en"/>
        </w:rPr>
        <w:t>suant to Article 9 (5) of Reg. 2015/1589</w:t>
      </w:r>
      <w:r>
        <w:rPr>
          <w:lang w:val="en"/>
        </w:rPr>
        <w:t>, since</w:t>
      </w:r>
      <w:r w:rsidR="004B7DB9">
        <w:rPr>
          <w:lang w:val="en"/>
        </w:rPr>
        <w:t xml:space="preserve"> where</w:t>
      </w:r>
      <w:r>
        <w:rPr>
          <w:lang w:val="en"/>
        </w:rPr>
        <w:t xml:space="preserve"> Article 107 (1) TFEU </w:t>
      </w:r>
      <w:r w:rsidR="004B7DB9">
        <w:rPr>
          <w:lang w:val="en"/>
        </w:rPr>
        <w:t>ha</w:t>
      </w:r>
      <w:r>
        <w:rPr>
          <w:lang w:val="en"/>
        </w:rPr>
        <w:t>s</w:t>
      </w:r>
      <w:r w:rsidR="004B7DB9">
        <w:rPr>
          <w:lang w:val="en"/>
        </w:rPr>
        <w:t xml:space="preserve"> been</w:t>
      </w:r>
      <w:r>
        <w:rPr>
          <w:lang w:val="en"/>
        </w:rPr>
        <w:t xml:space="preserve"> </w:t>
      </w:r>
      <w:r w:rsidR="004B7DB9">
        <w:rPr>
          <w:lang w:val="en"/>
        </w:rPr>
        <w:t>implemented</w:t>
      </w:r>
      <w:r>
        <w:rPr>
          <w:lang w:val="en"/>
        </w:rPr>
        <w:t xml:space="preserve"> by a negative decision</w:t>
      </w:r>
      <w:r w:rsidR="004B7DB9">
        <w:rPr>
          <w:lang w:val="en"/>
        </w:rPr>
        <w:t>,</w:t>
      </w:r>
      <w:r>
        <w:rPr>
          <w:lang w:val="en"/>
        </w:rPr>
        <w:t xml:space="preserve"> the individual can derive rights therefrom.</w:t>
      </w:r>
      <w:r w:rsidR="00370443">
        <w:rPr>
          <w:rStyle w:val="Funotenzeichen"/>
        </w:rPr>
        <w:footnoteReference w:id="54"/>
      </w:r>
    </w:p>
    <w:p w14:paraId="6A0C1B13" w14:textId="77777777" w:rsidR="00BD21F6" w:rsidRPr="00064EC4" w:rsidRDefault="00BD21F6" w:rsidP="0018082A">
      <w:pPr>
        <w:spacing w:line="360" w:lineRule="auto"/>
        <w:jc w:val="both"/>
      </w:pPr>
    </w:p>
    <w:p w14:paraId="595BBEF4" w14:textId="027DB442" w:rsidR="0073752A" w:rsidRPr="00064EC4" w:rsidRDefault="00D361B7" w:rsidP="0018082A">
      <w:pPr>
        <w:spacing w:line="360" w:lineRule="auto"/>
        <w:jc w:val="both"/>
        <w:rPr>
          <w:b/>
        </w:rPr>
      </w:pPr>
      <w:r>
        <w:rPr>
          <w:b/>
        </w:rPr>
        <w:t>b)</w:t>
      </w:r>
      <w:r w:rsidR="00360ADB" w:rsidRPr="00064EC4">
        <w:rPr>
          <w:b/>
        </w:rPr>
        <w:t xml:space="preserve"> </w:t>
      </w:r>
      <w:proofErr w:type="spellStart"/>
      <w:r w:rsidR="00E30350">
        <w:rPr>
          <w:b/>
        </w:rPr>
        <w:t>Enforcement</w:t>
      </w:r>
      <w:proofErr w:type="spellEnd"/>
      <w:r w:rsidR="00E30350">
        <w:rPr>
          <w:b/>
        </w:rPr>
        <w:t xml:space="preserve"> </w:t>
      </w:r>
      <w:proofErr w:type="spellStart"/>
      <w:r w:rsidR="00E30350">
        <w:rPr>
          <w:b/>
        </w:rPr>
        <w:t>by</w:t>
      </w:r>
      <w:proofErr w:type="spellEnd"/>
      <w:r w:rsidR="00E30350">
        <w:rPr>
          <w:b/>
        </w:rPr>
        <w:t xml:space="preserve"> Member State Courts</w:t>
      </w:r>
    </w:p>
    <w:p w14:paraId="55B7CF97" w14:textId="77777777" w:rsidR="00A755B1" w:rsidRPr="00064EC4" w:rsidRDefault="00A755B1" w:rsidP="0018082A">
      <w:pPr>
        <w:spacing w:line="360" w:lineRule="auto"/>
        <w:ind w:right="-2"/>
        <w:jc w:val="both"/>
      </w:pPr>
    </w:p>
    <w:p w14:paraId="07A3C347" w14:textId="30E73EB7" w:rsidR="00A755B1" w:rsidRDefault="00DA0E5E" w:rsidP="0018082A">
      <w:pPr>
        <w:spacing w:line="360" w:lineRule="auto"/>
        <w:ind w:right="-2"/>
        <w:jc w:val="both"/>
      </w:pPr>
      <w:r>
        <w:rPr>
          <w:lang w:val="en"/>
        </w:rPr>
        <w:t xml:space="preserve">A national court of a Member State where civil proceedings for the granting of aid by the United Kingdom are </w:t>
      </w:r>
      <w:proofErr w:type="gramStart"/>
      <w:r>
        <w:rPr>
          <w:lang w:val="en"/>
        </w:rPr>
        <w:t>pending,</w:t>
      </w:r>
      <w:proofErr w:type="gramEnd"/>
      <w:r>
        <w:rPr>
          <w:lang w:val="en"/>
        </w:rPr>
        <w:t xml:space="preserve"> may also have to deal with the issues raised above. In the light of the fact that, after Brexit, no substantive Commission decisions on State aid can be taken in cases of State aid granted by the United Kingdom, the question should be of considerable practical importance as to the extent to which national courts are obliged</w:t>
      </w:r>
      <w:r w:rsidR="00371E20">
        <w:rPr>
          <w:lang w:val="en"/>
        </w:rPr>
        <w:t xml:space="preserve"> to</w:t>
      </w:r>
      <w:r w:rsidR="00371E20" w:rsidRPr="00371E20">
        <w:rPr>
          <w:lang w:val="en"/>
        </w:rPr>
        <w:t xml:space="preserve"> </w:t>
      </w:r>
      <w:r w:rsidR="00371E20">
        <w:rPr>
          <w:lang w:val="en"/>
        </w:rPr>
        <w:t xml:space="preserve">draw conclusions from a past violation of the standstill requirement – or of a negative decision under Article 9 (1) of the Reg. 2015/1589 –, and to what extent they have to take into account a Commission </w:t>
      </w:r>
      <w:proofErr w:type="spellStart"/>
      <w:r w:rsidR="00371E20">
        <w:t>decision</w:t>
      </w:r>
      <w:proofErr w:type="spellEnd"/>
      <w:r w:rsidR="00371E20">
        <w:t xml:space="preserve"> </w:t>
      </w:r>
      <w:proofErr w:type="spellStart"/>
      <w:r w:rsidR="00371E20">
        <w:t>to</w:t>
      </w:r>
      <w:proofErr w:type="spellEnd"/>
      <w:r w:rsidR="00371E20">
        <w:t xml:space="preserve"> </w:t>
      </w:r>
      <w:proofErr w:type="spellStart"/>
      <w:r w:rsidR="00371E20">
        <w:t>initiate</w:t>
      </w:r>
      <w:proofErr w:type="spellEnd"/>
      <w:r w:rsidR="00371E20">
        <w:t xml:space="preserve"> </w:t>
      </w:r>
      <w:proofErr w:type="spellStart"/>
      <w:r w:rsidR="00371E20">
        <w:t>the</w:t>
      </w:r>
      <w:proofErr w:type="spellEnd"/>
      <w:r w:rsidR="00371E20">
        <w:t xml:space="preserve"> formal </w:t>
      </w:r>
      <w:proofErr w:type="spellStart"/>
      <w:r w:rsidR="00371E20">
        <w:t>investigation</w:t>
      </w:r>
      <w:proofErr w:type="spellEnd"/>
      <w:r w:rsidR="00371E20">
        <w:t xml:space="preserve"> </w:t>
      </w:r>
      <w:proofErr w:type="spellStart"/>
      <w:r w:rsidR="00371E20">
        <w:t>procedure</w:t>
      </w:r>
      <w:proofErr w:type="spellEnd"/>
      <w:r w:rsidR="00371E20">
        <w:rPr>
          <w:lang w:val="en"/>
        </w:rPr>
        <w:t xml:space="preserve"> under Article 4 (4) of Reg. 2015/1589, when assessing whether or not there has been an infringement of Article</w:t>
      </w:r>
      <w:r>
        <w:rPr>
          <w:lang w:val="en"/>
        </w:rPr>
        <w:t xml:space="preserve"> 108 (3) TFEU</w:t>
      </w:r>
      <w:r w:rsidR="00371E20">
        <w:rPr>
          <w:lang w:val="en"/>
        </w:rPr>
        <w:t xml:space="preserve"> and Article </w:t>
      </w:r>
      <w:r>
        <w:rPr>
          <w:lang w:val="en"/>
        </w:rPr>
        <w:t xml:space="preserve">3 </w:t>
      </w:r>
      <w:r w:rsidR="00371E20">
        <w:rPr>
          <w:lang w:val="en"/>
        </w:rPr>
        <w:t>of the Reg. 2015/1589.</w:t>
      </w:r>
      <w:r>
        <w:rPr>
          <w:lang w:val="en"/>
        </w:rPr>
        <w:t xml:space="preserve"> If the aid does not constitute a</w:t>
      </w:r>
      <w:r w:rsidR="00371E20">
        <w:rPr>
          <w:lang w:val="en"/>
        </w:rPr>
        <w:t xml:space="preserve">n act in the exercise of State authority </w:t>
      </w:r>
      <w:r w:rsidR="00207CCD">
        <w:rPr>
          <w:lang w:val="en"/>
        </w:rPr>
        <w:t>(</w:t>
      </w:r>
      <w:proofErr w:type="spellStart"/>
      <w:r w:rsidR="00207CCD">
        <w:rPr>
          <w:lang w:val="en"/>
        </w:rPr>
        <w:t>acta</w:t>
      </w:r>
      <w:proofErr w:type="spellEnd"/>
      <w:r w:rsidR="00207CCD">
        <w:rPr>
          <w:lang w:val="en"/>
        </w:rPr>
        <w:t xml:space="preserve"> </w:t>
      </w:r>
      <w:proofErr w:type="spellStart"/>
      <w:r w:rsidR="00207CCD">
        <w:rPr>
          <w:lang w:val="en"/>
        </w:rPr>
        <w:t>iure</w:t>
      </w:r>
      <w:proofErr w:type="spellEnd"/>
      <w:r w:rsidR="00207CCD">
        <w:rPr>
          <w:lang w:val="en"/>
        </w:rPr>
        <w:t xml:space="preserve"> </w:t>
      </w:r>
      <w:proofErr w:type="spellStart"/>
      <w:r w:rsidR="00207CCD">
        <w:rPr>
          <w:lang w:val="en"/>
        </w:rPr>
        <w:t>imperii</w:t>
      </w:r>
      <w:proofErr w:type="spellEnd"/>
      <w:r w:rsidR="00207CCD">
        <w:rPr>
          <w:lang w:val="en"/>
        </w:rPr>
        <w:t xml:space="preserve">) </w:t>
      </w:r>
      <w:r>
        <w:rPr>
          <w:lang w:val="en"/>
        </w:rPr>
        <w:t xml:space="preserve">in the meaning of Article 1 (1) </w:t>
      </w:r>
      <w:r w:rsidR="00C02E45">
        <w:rPr>
          <w:lang w:val="en"/>
        </w:rPr>
        <w:t xml:space="preserve">of the </w:t>
      </w:r>
      <w:r>
        <w:rPr>
          <w:lang w:val="en"/>
        </w:rPr>
        <w:t xml:space="preserve">Brussels </w:t>
      </w:r>
      <w:proofErr w:type="spellStart"/>
      <w:r>
        <w:rPr>
          <w:lang w:val="en"/>
        </w:rPr>
        <w:t>Ia</w:t>
      </w:r>
      <w:proofErr w:type="spellEnd"/>
      <w:r w:rsidR="00C02E45">
        <w:rPr>
          <w:lang w:val="en"/>
        </w:rPr>
        <w:t xml:space="preserve"> Regulation</w:t>
      </w:r>
      <w:r w:rsidR="00A93736">
        <w:rPr>
          <w:rStyle w:val="Funotenzeichen"/>
        </w:rPr>
        <w:footnoteReference w:id="55"/>
      </w:r>
      <w:r>
        <w:rPr>
          <w:lang w:val="en"/>
        </w:rPr>
        <w:t>, but rather a measure under private law, in particular because it is granted by a private law contract</w:t>
      </w:r>
      <w:r w:rsidR="00A93736" w:rsidRPr="00064EC4">
        <w:rPr>
          <w:rStyle w:val="Funotenzeichen"/>
        </w:rPr>
        <w:footnoteReference w:id="56"/>
      </w:r>
      <w:r>
        <w:rPr>
          <w:lang w:val="en"/>
        </w:rPr>
        <w:t xml:space="preserve">, </w:t>
      </w:r>
      <w:r w:rsidR="00511F29">
        <w:rPr>
          <w:lang w:val="en"/>
        </w:rPr>
        <w:t xml:space="preserve">Member State </w:t>
      </w:r>
      <w:r>
        <w:rPr>
          <w:lang w:val="en"/>
        </w:rPr>
        <w:t>court</w:t>
      </w:r>
      <w:r w:rsidR="00C02E45">
        <w:rPr>
          <w:lang w:val="en"/>
        </w:rPr>
        <w:t>s may have</w:t>
      </w:r>
      <w:r w:rsidR="00207CCD">
        <w:rPr>
          <w:lang w:val="en"/>
        </w:rPr>
        <w:t xml:space="preserve"> international</w:t>
      </w:r>
      <w:r w:rsidR="00C02E45">
        <w:rPr>
          <w:lang w:val="en"/>
        </w:rPr>
        <w:t xml:space="preserve"> jurisdiction pursuant to Article 7 (2) Brussels </w:t>
      </w:r>
      <w:proofErr w:type="spellStart"/>
      <w:r w:rsidR="00C02E45">
        <w:rPr>
          <w:lang w:val="en"/>
        </w:rPr>
        <w:t>Ia</w:t>
      </w:r>
      <w:proofErr w:type="spellEnd"/>
      <w:r w:rsidR="00C02E45">
        <w:rPr>
          <w:lang w:val="en"/>
        </w:rPr>
        <w:t xml:space="preserve"> Regulation</w:t>
      </w:r>
      <w:r w:rsidR="00207CCD">
        <w:rPr>
          <w:lang w:val="en"/>
        </w:rPr>
        <w:t xml:space="preserve"> if the</w:t>
      </w:r>
      <w:r w:rsidR="00511F29">
        <w:rPr>
          <w:lang w:val="en"/>
        </w:rPr>
        <w:t xml:space="preserve"> </w:t>
      </w:r>
      <w:r w:rsidR="00207CCD">
        <w:rPr>
          <w:lang w:val="en"/>
        </w:rPr>
        <w:t>place where the harmful event occurred</w:t>
      </w:r>
      <w:r w:rsidR="00511F29">
        <w:rPr>
          <w:lang w:val="en"/>
        </w:rPr>
        <w:t xml:space="preserve"> is located in that Me</w:t>
      </w:r>
      <w:r w:rsidR="00511F29">
        <w:rPr>
          <w:lang w:val="en"/>
        </w:rPr>
        <w:t>m</w:t>
      </w:r>
      <w:r w:rsidR="00511F29">
        <w:rPr>
          <w:lang w:val="en"/>
        </w:rPr>
        <w:t>ber State</w:t>
      </w:r>
      <w:r>
        <w:rPr>
          <w:lang w:val="en"/>
        </w:rPr>
        <w:t>.</w:t>
      </w:r>
      <w:r w:rsidR="00A93736" w:rsidRPr="00064EC4">
        <w:rPr>
          <w:rStyle w:val="Funotenzeichen"/>
        </w:rPr>
        <w:footnoteReference w:id="57"/>
      </w:r>
      <w:r>
        <w:rPr>
          <w:lang w:val="en"/>
        </w:rPr>
        <w:t xml:space="preserve"> However,</w:t>
      </w:r>
      <w:r w:rsidR="00207CCD">
        <w:rPr>
          <w:lang w:val="en"/>
        </w:rPr>
        <w:t xml:space="preserve"> according to recent case law of the ECJ,</w:t>
      </w:r>
      <w:r>
        <w:rPr>
          <w:lang w:val="en"/>
        </w:rPr>
        <w:t xml:space="preserve"> </w:t>
      </w:r>
      <w:r w:rsidR="00207CCD">
        <w:rPr>
          <w:lang w:val="en"/>
        </w:rPr>
        <w:t xml:space="preserve">it is doubtful </w:t>
      </w:r>
      <w:r>
        <w:rPr>
          <w:lang w:val="en"/>
        </w:rPr>
        <w:t xml:space="preserve">whether the scope of application of the Brussels </w:t>
      </w:r>
      <w:proofErr w:type="spellStart"/>
      <w:r>
        <w:rPr>
          <w:lang w:val="en"/>
        </w:rPr>
        <w:t>Ia</w:t>
      </w:r>
      <w:proofErr w:type="spellEnd"/>
      <w:r>
        <w:rPr>
          <w:lang w:val="en"/>
        </w:rPr>
        <w:t xml:space="preserve"> Regulation is always open</w:t>
      </w:r>
      <w:r w:rsidR="00511F29">
        <w:rPr>
          <w:lang w:val="en"/>
        </w:rPr>
        <w:t xml:space="preserve"> if</w:t>
      </w:r>
      <w:r>
        <w:rPr>
          <w:lang w:val="en"/>
        </w:rPr>
        <w:t xml:space="preserve"> the procedure before the natio</w:t>
      </w:r>
      <w:r>
        <w:rPr>
          <w:lang w:val="en"/>
        </w:rPr>
        <w:t>n</w:t>
      </w:r>
      <w:r>
        <w:rPr>
          <w:lang w:val="en"/>
        </w:rPr>
        <w:t>al court is directed against the beneficiary</w:t>
      </w:r>
      <w:r w:rsidR="00511F29">
        <w:rPr>
          <w:lang w:val="en"/>
        </w:rPr>
        <w:t xml:space="preserve"> </w:t>
      </w:r>
      <w:r w:rsidR="00DA02E6">
        <w:rPr>
          <w:lang w:val="en"/>
        </w:rPr>
        <w:t>that</w:t>
      </w:r>
      <w:r w:rsidR="00511F29">
        <w:rPr>
          <w:lang w:val="en"/>
        </w:rPr>
        <w:t xml:space="preserve"> is not acting</w:t>
      </w:r>
      <w:r w:rsidR="00207CCD">
        <w:rPr>
          <w:lang w:val="en"/>
        </w:rPr>
        <w:t xml:space="preserve"> in the exercise of State authority</w:t>
      </w:r>
      <w:r w:rsidR="00511F29">
        <w:rPr>
          <w:lang w:val="en"/>
        </w:rPr>
        <w:t xml:space="preserve"> when receiving the aid</w:t>
      </w:r>
      <w:r w:rsidR="00A93736">
        <w:rPr>
          <w:rStyle w:val="Funotenzeichen"/>
        </w:rPr>
        <w:footnoteReference w:id="58"/>
      </w:r>
      <w:r w:rsidR="00511F29">
        <w:rPr>
          <w:lang w:val="en"/>
        </w:rPr>
        <w:t xml:space="preserve">, as such proceedings necessarily </w:t>
      </w:r>
      <w:r w:rsidR="00DA02E6">
        <w:rPr>
          <w:lang w:val="en"/>
        </w:rPr>
        <w:t>relate to</w:t>
      </w:r>
      <w:r w:rsidR="00511F29">
        <w:rPr>
          <w:lang w:val="en"/>
        </w:rPr>
        <w:t xml:space="preserve"> the granting of the aid</w:t>
      </w:r>
      <w:r w:rsidR="00DA02E6">
        <w:rPr>
          <w:lang w:val="en"/>
        </w:rPr>
        <w:t xml:space="preserve"> itself</w:t>
      </w:r>
      <w:r w:rsidR="00511F29">
        <w:rPr>
          <w:lang w:val="en"/>
        </w:rPr>
        <w:t xml:space="preserve"> which from the point of view of the aid granting authority may well </w:t>
      </w:r>
      <w:r w:rsidR="00DA02E6">
        <w:rPr>
          <w:lang w:val="en"/>
        </w:rPr>
        <w:t>constitute an act in the</w:t>
      </w:r>
      <w:r w:rsidR="00511F29">
        <w:rPr>
          <w:lang w:val="en"/>
        </w:rPr>
        <w:t xml:space="preserve"> exercise of State authority, and the</w:t>
      </w:r>
      <w:r>
        <w:rPr>
          <w:lang w:val="en"/>
        </w:rPr>
        <w:t xml:space="preserve"> question of its legality.</w:t>
      </w:r>
      <w:r w:rsidR="00A93736" w:rsidRPr="00A93736">
        <w:rPr>
          <w:rStyle w:val="Funotenzeichen"/>
        </w:rPr>
        <w:t xml:space="preserve"> </w:t>
      </w:r>
      <w:r w:rsidR="00A93736" w:rsidRPr="00064EC4">
        <w:rPr>
          <w:rStyle w:val="Funotenzeichen"/>
        </w:rPr>
        <w:footnoteReference w:id="59"/>
      </w:r>
    </w:p>
    <w:p w14:paraId="1165973E" w14:textId="77777777" w:rsidR="00C01BD1" w:rsidRDefault="00C01BD1" w:rsidP="0018082A">
      <w:pPr>
        <w:spacing w:line="360" w:lineRule="auto"/>
        <w:ind w:right="-2"/>
        <w:jc w:val="both"/>
      </w:pPr>
    </w:p>
    <w:p w14:paraId="1487A375" w14:textId="325DB94A" w:rsidR="00C01BD1" w:rsidRPr="00064EC4" w:rsidRDefault="00C01BD1" w:rsidP="0018082A">
      <w:pPr>
        <w:spacing w:line="360" w:lineRule="auto"/>
        <w:ind w:right="-2"/>
        <w:jc w:val="both"/>
      </w:pPr>
      <w:r>
        <w:rPr>
          <w:lang w:val="en"/>
        </w:rPr>
        <w:t xml:space="preserve">The law applicable by the national court must be determined in accordance with Article 6 (3) of the Rome II Regulation, which, despite the restrictive wording of Recital </w:t>
      </w:r>
      <w:proofErr w:type="gramStart"/>
      <w:r>
        <w:rPr>
          <w:lang w:val="en"/>
        </w:rPr>
        <w:t xml:space="preserve">23 </w:t>
      </w:r>
      <w:r w:rsidR="00FC3CFD">
        <w:rPr>
          <w:lang w:val="en"/>
        </w:rPr>
        <w:t xml:space="preserve"> of</w:t>
      </w:r>
      <w:proofErr w:type="gramEnd"/>
      <w:r w:rsidR="00FC3CFD">
        <w:rPr>
          <w:lang w:val="en"/>
        </w:rPr>
        <w:t xml:space="preserve"> the </w:t>
      </w:r>
      <w:r>
        <w:rPr>
          <w:lang w:val="en"/>
        </w:rPr>
        <w:t xml:space="preserve">Rome II Regulation, also covers claims for breach of State </w:t>
      </w:r>
      <w:r w:rsidRPr="008745C2">
        <w:rPr>
          <w:lang w:val="en"/>
        </w:rPr>
        <w:t>aid rules.</w:t>
      </w:r>
      <w:r w:rsidR="008745C2" w:rsidRPr="008745C2">
        <w:rPr>
          <w:rStyle w:val="Funotenzeichen"/>
        </w:rPr>
        <w:footnoteReference w:id="60"/>
      </w:r>
      <w:r w:rsidRPr="008745C2">
        <w:rPr>
          <w:lang w:val="en"/>
        </w:rPr>
        <w:t xml:space="preserve"> In particular, Article 6 (3) (b) Rome II Regulation, which gives the injured party the possibility of relying on the </w:t>
      </w:r>
      <w:proofErr w:type="spellStart"/>
      <w:r w:rsidRPr="008745C2">
        <w:rPr>
          <w:lang w:val="en"/>
        </w:rPr>
        <w:t>lex</w:t>
      </w:r>
      <w:proofErr w:type="spellEnd"/>
      <w:r w:rsidRPr="008745C2">
        <w:rPr>
          <w:lang w:val="en"/>
        </w:rPr>
        <w:t xml:space="preserve"> </w:t>
      </w:r>
      <w:proofErr w:type="spellStart"/>
      <w:r w:rsidRPr="008745C2">
        <w:rPr>
          <w:lang w:val="en"/>
        </w:rPr>
        <w:t>fori</w:t>
      </w:r>
      <w:proofErr w:type="spellEnd"/>
      <w:r w:rsidRPr="008745C2">
        <w:rPr>
          <w:lang w:val="en"/>
        </w:rPr>
        <w:t xml:space="preserve"> if the aid at issue directly and substantially affects the market in the Member State of the court seized.</w:t>
      </w:r>
      <w:r w:rsidR="008745C2" w:rsidRPr="008745C2">
        <w:rPr>
          <w:rStyle w:val="Funotenzeichen"/>
        </w:rPr>
        <w:footnoteReference w:id="61"/>
      </w:r>
      <w:r w:rsidRPr="008745C2">
        <w:rPr>
          <w:lang w:val="en"/>
        </w:rPr>
        <w:t xml:space="preserve"> Thus, before French courts, for example, the assertion of claims for damages under Article</w:t>
      </w:r>
      <w:r>
        <w:rPr>
          <w:lang w:val="en"/>
        </w:rPr>
        <w:t xml:space="preserve"> 1240 of the Civil Code against a British donor of State aid is possible where the aid has been granted in breach of the standstill obligation of Article 108 (3) TFEU and Article 3 Reg. 2015/1589</w:t>
      </w:r>
      <w:r w:rsidR="00FE069E">
        <w:rPr>
          <w:lang w:val="en"/>
        </w:rPr>
        <w:t>, or in violation of a negative decision adopted by the Commission before Brexit</w:t>
      </w:r>
      <w:r>
        <w:rPr>
          <w:lang w:val="en"/>
        </w:rPr>
        <w:t xml:space="preserve">, provided that the granting of the aid does not constitute an act in the exercise of State authority. Also claims </w:t>
      </w:r>
      <w:r w:rsidR="00FE069E">
        <w:rPr>
          <w:lang w:val="en"/>
        </w:rPr>
        <w:t xml:space="preserve">that are </w:t>
      </w:r>
      <w:r>
        <w:rPr>
          <w:lang w:val="en"/>
        </w:rPr>
        <w:t>directed to the elimination of the competitive advantage o</w:t>
      </w:r>
      <w:r>
        <w:rPr>
          <w:lang w:val="en"/>
        </w:rPr>
        <w:t>b</w:t>
      </w:r>
      <w:r>
        <w:rPr>
          <w:lang w:val="en"/>
        </w:rPr>
        <w:t>tained by</w:t>
      </w:r>
      <w:r w:rsidR="00FE069E">
        <w:rPr>
          <w:lang w:val="en"/>
        </w:rPr>
        <w:t xml:space="preserve"> the State aid beneficiary </w:t>
      </w:r>
      <w:r>
        <w:rPr>
          <w:lang w:val="en"/>
        </w:rPr>
        <w:t>come into consideration.</w:t>
      </w:r>
      <w:r w:rsidR="00FE069E">
        <w:rPr>
          <w:rStyle w:val="Funotenzeichen"/>
          <w:lang w:val="en"/>
        </w:rPr>
        <w:footnoteReference w:id="62"/>
      </w:r>
    </w:p>
    <w:p w14:paraId="30873D8E" w14:textId="77777777" w:rsidR="00A755B1" w:rsidRPr="00064EC4" w:rsidRDefault="00A755B1" w:rsidP="0018082A">
      <w:pPr>
        <w:spacing w:line="360" w:lineRule="auto"/>
        <w:ind w:right="-2"/>
        <w:jc w:val="both"/>
      </w:pPr>
    </w:p>
    <w:p w14:paraId="435DB352" w14:textId="08756297" w:rsidR="002E4455" w:rsidRDefault="008745C2" w:rsidP="0018082A">
      <w:pPr>
        <w:spacing w:line="360" w:lineRule="auto"/>
        <w:jc w:val="both"/>
        <w:rPr>
          <w:lang w:val="en"/>
        </w:rPr>
      </w:pPr>
      <w:r>
        <w:rPr>
          <w:lang w:val="en"/>
        </w:rPr>
        <w:t>Th</w:t>
      </w:r>
      <w:r w:rsidR="0010496A">
        <w:rPr>
          <w:lang w:val="en"/>
        </w:rPr>
        <w:t>at</w:t>
      </w:r>
      <w:r>
        <w:rPr>
          <w:lang w:val="en"/>
        </w:rPr>
        <w:t xml:space="preserve"> elimination may be effected by the recovery of illegality interest for example</w:t>
      </w:r>
      <w:r w:rsidR="00FC3CFD">
        <w:rPr>
          <w:rStyle w:val="Funotenzeichen"/>
        </w:rPr>
        <w:footnoteReference w:id="63"/>
      </w:r>
      <w:r>
        <w:rPr>
          <w:lang w:val="en"/>
        </w:rPr>
        <w:t>, whereas a recovery order concerning the amount of the formally illegal State aid is not without pro</w:t>
      </w:r>
      <w:r>
        <w:rPr>
          <w:lang w:val="en"/>
        </w:rPr>
        <w:t>b</w:t>
      </w:r>
      <w:r>
        <w:rPr>
          <w:lang w:val="en"/>
        </w:rPr>
        <w:t>lems, since the beneficiary of the aid would lose its advantages also for the period after Bre</w:t>
      </w:r>
      <w:r>
        <w:rPr>
          <w:lang w:val="en"/>
        </w:rPr>
        <w:t>x</w:t>
      </w:r>
      <w:r>
        <w:rPr>
          <w:lang w:val="en"/>
        </w:rPr>
        <w:t xml:space="preserve">it, </w:t>
      </w:r>
      <w:r w:rsidR="00367078">
        <w:rPr>
          <w:lang w:val="en"/>
        </w:rPr>
        <w:t>although</w:t>
      </w:r>
      <w:r>
        <w:rPr>
          <w:lang w:val="en"/>
        </w:rPr>
        <w:t xml:space="preserve"> the aid </w:t>
      </w:r>
      <w:r w:rsidR="00367078">
        <w:rPr>
          <w:lang w:val="en"/>
        </w:rPr>
        <w:t xml:space="preserve">would </w:t>
      </w:r>
      <w:r>
        <w:rPr>
          <w:lang w:val="en"/>
        </w:rPr>
        <w:t>not violate the standstill clause of Article 108 (3) TFEU a</w:t>
      </w:r>
      <w:r w:rsidR="00FC3CFD">
        <w:rPr>
          <w:lang w:val="en"/>
        </w:rPr>
        <w:t>nd Art</w:t>
      </w:r>
      <w:r w:rsidR="00FC3CFD">
        <w:rPr>
          <w:lang w:val="en"/>
        </w:rPr>
        <w:t>i</w:t>
      </w:r>
      <w:r w:rsidR="00FC3CFD">
        <w:rPr>
          <w:lang w:val="en"/>
        </w:rPr>
        <w:t>cle </w:t>
      </w:r>
      <w:r>
        <w:rPr>
          <w:lang w:val="en"/>
        </w:rPr>
        <w:t xml:space="preserve">3 </w:t>
      </w:r>
      <w:r w:rsidR="00FC3CFD">
        <w:rPr>
          <w:lang w:val="en"/>
        </w:rPr>
        <w:t xml:space="preserve">of Reg. </w:t>
      </w:r>
      <w:r>
        <w:rPr>
          <w:lang w:val="en"/>
        </w:rPr>
        <w:t>2015/1589 anymore.</w:t>
      </w:r>
      <w:r w:rsidR="00FC3CFD" w:rsidRPr="00064EC4">
        <w:rPr>
          <w:rStyle w:val="Funotenzeichen"/>
        </w:rPr>
        <w:footnoteReference w:id="64"/>
      </w:r>
      <w:r>
        <w:rPr>
          <w:lang w:val="en"/>
        </w:rPr>
        <w:t xml:space="preserve"> </w:t>
      </w:r>
      <w:r w:rsidR="00367078">
        <w:rPr>
          <w:lang w:val="en"/>
        </w:rPr>
        <w:t xml:space="preserve">However, claims for violation of the British State aid provisions that will apply instead of EU State aid law may then be considered. </w:t>
      </w:r>
      <w:r w:rsidR="00FC3CFD">
        <w:rPr>
          <w:lang w:val="en"/>
        </w:rPr>
        <w:t xml:space="preserve">For national courts, </w:t>
      </w:r>
      <w:r w:rsidR="00BC1019">
        <w:rPr>
          <w:lang w:val="en"/>
        </w:rPr>
        <w:t xml:space="preserve">Commission decisions under Article 4 (4) </w:t>
      </w:r>
      <w:r w:rsidR="00FC3CFD">
        <w:rPr>
          <w:lang w:val="en"/>
        </w:rPr>
        <w:t xml:space="preserve">of </w:t>
      </w:r>
      <w:r w:rsidR="00BC1019">
        <w:rPr>
          <w:lang w:val="en"/>
        </w:rPr>
        <w:t xml:space="preserve">Reg. 2015/1589 to initiate the formal investigation procedure concerning </w:t>
      </w:r>
      <w:r w:rsidR="00FC3CFD">
        <w:rPr>
          <w:lang w:val="en"/>
        </w:rPr>
        <w:t>measures of the UK that possibly constitute aid,</w:t>
      </w:r>
      <w:r w:rsidR="00BC1019">
        <w:rPr>
          <w:lang w:val="en"/>
        </w:rPr>
        <w:t xml:space="preserve"> will</w:t>
      </w:r>
      <w:r>
        <w:rPr>
          <w:lang w:val="en"/>
        </w:rPr>
        <w:t xml:space="preserve"> no longer h</w:t>
      </w:r>
      <w:r w:rsidR="00BC1019">
        <w:rPr>
          <w:lang w:val="en"/>
        </w:rPr>
        <w:t>ave</w:t>
      </w:r>
      <w:r>
        <w:rPr>
          <w:lang w:val="en"/>
        </w:rPr>
        <w:t xml:space="preserve"> any binding effect</w:t>
      </w:r>
      <w:r w:rsidR="00FC3CFD" w:rsidRPr="00064EC4">
        <w:rPr>
          <w:rStyle w:val="Funotenzeichen"/>
        </w:rPr>
        <w:footnoteReference w:id="65"/>
      </w:r>
      <w:r w:rsidR="00FC3CFD" w:rsidRPr="00064EC4">
        <w:t xml:space="preserve"> </w:t>
      </w:r>
      <w:r>
        <w:rPr>
          <w:lang w:val="en"/>
        </w:rPr>
        <w:t xml:space="preserve"> </w:t>
      </w:r>
      <w:r w:rsidR="00BC1019">
        <w:rPr>
          <w:lang w:val="en"/>
        </w:rPr>
        <w:t>after</w:t>
      </w:r>
      <w:r>
        <w:rPr>
          <w:lang w:val="en"/>
        </w:rPr>
        <w:t xml:space="preserve"> Brexit</w:t>
      </w:r>
      <w:r w:rsidR="00FC3CFD">
        <w:rPr>
          <w:lang w:val="en"/>
        </w:rPr>
        <w:t xml:space="preserve">, as </w:t>
      </w:r>
      <w:r>
        <w:rPr>
          <w:lang w:val="en"/>
        </w:rPr>
        <w:t xml:space="preserve">a decision terminating the proceedings </w:t>
      </w:r>
      <w:r w:rsidR="00BC1019">
        <w:rPr>
          <w:lang w:val="en"/>
        </w:rPr>
        <w:t>will</w:t>
      </w:r>
      <w:r>
        <w:rPr>
          <w:lang w:val="en"/>
        </w:rPr>
        <w:t xml:space="preserve"> no longer </w:t>
      </w:r>
      <w:r w:rsidR="00BC1019">
        <w:rPr>
          <w:lang w:val="en"/>
        </w:rPr>
        <w:t xml:space="preserve">be possible, </w:t>
      </w:r>
      <w:r>
        <w:rPr>
          <w:lang w:val="en"/>
        </w:rPr>
        <w:t>the Commission</w:t>
      </w:r>
      <w:r w:rsidR="00BC1019">
        <w:rPr>
          <w:lang w:val="en"/>
        </w:rPr>
        <w:t xml:space="preserve"> having lost competence to the CMA</w:t>
      </w:r>
      <w:r>
        <w:rPr>
          <w:lang w:val="en"/>
        </w:rPr>
        <w:t>.</w:t>
      </w:r>
      <w:r w:rsidR="008E1C14">
        <w:rPr>
          <w:rStyle w:val="Funotenzeichen"/>
        </w:rPr>
        <w:footnoteReference w:id="66"/>
      </w:r>
    </w:p>
    <w:p w14:paraId="77F208C5" w14:textId="77777777" w:rsidR="008745C2" w:rsidRDefault="008745C2" w:rsidP="0018082A">
      <w:pPr>
        <w:spacing w:line="360" w:lineRule="auto"/>
        <w:jc w:val="both"/>
      </w:pPr>
    </w:p>
    <w:p w14:paraId="4C56BDFD" w14:textId="78A1FC8E" w:rsidR="002E4455" w:rsidRPr="00042229" w:rsidRDefault="002E4455" w:rsidP="0018082A">
      <w:pPr>
        <w:spacing w:line="360" w:lineRule="auto"/>
        <w:jc w:val="both"/>
        <w:rPr>
          <w:b/>
        </w:rPr>
      </w:pPr>
      <w:r w:rsidRPr="00042229">
        <w:rPr>
          <w:b/>
        </w:rPr>
        <w:t xml:space="preserve">III. </w:t>
      </w:r>
      <w:r w:rsidR="00367437">
        <w:rPr>
          <w:b/>
        </w:rPr>
        <w:t xml:space="preserve">Legal Situation in Case </w:t>
      </w:r>
      <w:proofErr w:type="spellStart"/>
      <w:r w:rsidR="00367437">
        <w:rPr>
          <w:b/>
        </w:rPr>
        <w:t>of</w:t>
      </w:r>
      <w:proofErr w:type="spellEnd"/>
      <w:r w:rsidR="00367437">
        <w:rPr>
          <w:b/>
        </w:rPr>
        <w:t xml:space="preserve"> an Exit Agreement</w:t>
      </w:r>
    </w:p>
    <w:p w14:paraId="350839EA" w14:textId="77777777" w:rsidR="00042229" w:rsidRDefault="00042229" w:rsidP="0018082A">
      <w:pPr>
        <w:spacing w:line="360" w:lineRule="auto"/>
        <w:jc w:val="both"/>
      </w:pPr>
    </w:p>
    <w:p w14:paraId="51D8BC2A" w14:textId="711AAE8B" w:rsidR="00042229" w:rsidRPr="00273056" w:rsidRDefault="00273056" w:rsidP="0018082A">
      <w:pPr>
        <w:spacing w:line="360" w:lineRule="auto"/>
        <w:jc w:val="both"/>
        <w:rPr>
          <w:b/>
        </w:rPr>
      </w:pPr>
      <w:r w:rsidRPr="00273056">
        <w:rPr>
          <w:b/>
        </w:rPr>
        <w:t xml:space="preserve">1. </w:t>
      </w:r>
      <w:r w:rsidR="00367437">
        <w:rPr>
          <w:b/>
        </w:rPr>
        <w:t xml:space="preserve">Legal Situation in </w:t>
      </w:r>
      <w:proofErr w:type="spellStart"/>
      <w:r w:rsidR="00367437">
        <w:rPr>
          <w:b/>
        </w:rPr>
        <w:t>Substance</w:t>
      </w:r>
      <w:proofErr w:type="spellEnd"/>
    </w:p>
    <w:p w14:paraId="5595EB5E" w14:textId="77777777" w:rsidR="00273056" w:rsidRDefault="00273056" w:rsidP="0018082A">
      <w:pPr>
        <w:spacing w:line="360" w:lineRule="auto"/>
        <w:jc w:val="both"/>
      </w:pPr>
    </w:p>
    <w:p w14:paraId="7BAC37FD" w14:textId="423CE3D3" w:rsidR="002353CC" w:rsidRPr="002353CC" w:rsidRDefault="002353CC" w:rsidP="0018082A">
      <w:pPr>
        <w:spacing w:line="360" w:lineRule="auto"/>
        <w:jc w:val="both"/>
        <w:rPr>
          <w:b/>
        </w:rPr>
      </w:pPr>
      <w:r>
        <w:rPr>
          <w:b/>
        </w:rPr>
        <w:t xml:space="preserve">a) </w:t>
      </w:r>
      <w:r w:rsidR="00367437">
        <w:rPr>
          <w:b/>
        </w:rPr>
        <w:t xml:space="preserve">Transition </w:t>
      </w:r>
      <w:proofErr w:type="spellStart"/>
      <w:r w:rsidR="00367437">
        <w:rPr>
          <w:b/>
        </w:rPr>
        <w:t>Period</w:t>
      </w:r>
      <w:proofErr w:type="spellEnd"/>
    </w:p>
    <w:p w14:paraId="18ECD95A" w14:textId="77777777" w:rsidR="002353CC" w:rsidRDefault="002353CC" w:rsidP="0018082A">
      <w:pPr>
        <w:spacing w:line="360" w:lineRule="auto"/>
        <w:jc w:val="both"/>
      </w:pPr>
    </w:p>
    <w:p w14:paraId="1AA0CC48" w14:textId="44FAF0E4" w:rsidR="00C509F9" w:rsidRDefault="00F017A5" w:rsidP="0018082A">
      <w:pPr>
        <w:spacing w:line="360" w:lineRule="auto"/>
        <w:jc w:val="both"/>
        <w:rPr>
          <w:lang w:val="en"/>
        </w:rPr>
      </w:pPr>
      <w:r>
        <w:rPr>
          <w:lang w:val="en"/>
        </w:rPr>
        <w:t>Article 121 of the Draft Withdrawal Agreement of March 19, 2018 provides for a transitional period from the date of entry into force of the Agreement until December 31</w:t>
      </w:r>
      <w:r w:rsidRPr="00F017A5">
        <w:rPr>
          <w:vertAlign w:val="superscript"/>
          <w:lang w:val="en"/>
        </w:rPr>
        <w:t>st</w:t>
      </w:r>
      <w:r>
        <w:rPr>
          <w:lang w:val="en"/>
        </w:rPr>
        <w:t xml:space="preserve">, 2020. During this period, EU law shall continue to be applicable to the United Kingdom in accordance with Article 122 (1) of the </w:t>
      </w:r>
      <w:r w:rsidR="001D6C2C">
        <w:rPr>
          <w:lang w:val="en"/>
        </w:rPr>
        <w:t>Draft Agreement, unless otherwise provided</w:t>
      </w:r>
      <w:r>
        <w:rPr>
          <w:lang w:val="en"/>
        </w:rPr>
        <w:t xml:space="preserve">. In accordance with </w:t>
      </w:r>
      <w:r w:rsidR="001D6C2C">
        <w:rPr>
          <w:lang w:val="en"/>
        </w:rPr>
        <w:t>par</w:t>
      </w:r>
      <w:r w:rsidR="001D6C2C">
        <w:rPr>
          <w:lang w:val="en"/>
        </w:rPr>
        <w:t>a</w:t>
      </w:r>
      <w:r w:rsidR="001D6C2C">
        <w:rPr>
          <w:lang w:val="en"/>
        </w:rPr>
        <w:t>graph (3) of that provision</w:t>
      </w:r>
      <w:r>
        <w:rPr>
          <w:lang w:val="en"/>
        </w:rPr>
        <w:t xml:space="preserve">, the applicable EU law </w:t>
      </w:r>
      <w:r w:rsidR="001D6C2C">
        <w:rPr>
          <w:lang w:val="en"/>
        </w:rPr>
        <w:t>shall produce in respect of and in the Uni</w:t>
      </w:r>
      <w:r w:rsidR="001D6C2C">
        <w:rPr>
          <w:lang w:val="en"/>
        </w:rPr>
        <w:t>t</w:t>
      </w:r>
      <w:r w:rsidR="001D6C2C">
        <w:rPr>
          <w:lang w:val="en"/>
        </w:rPr>
        <w:t>ed Kingdom the same legal effects as those which it produces within the EU and its Member States and shall be interpreted and applied in accordance with the same methods and general principles as those applicable within the EU</w:t>
      </w:r>
      <w:r>
        <w:rPr>
          <w:lang w:val="en"/>
        </w:rPr>
        <w:t xml:space="preserve">. Since special </w:t>
      </w:r>
      <w:r w:rsidR="001D6C2C">
        <w:rPr>
          <w:lang w:val="en"/>
        </w:rPr>
        <w:t>S</w:t>
      </w:r>
      <w:r>
        <w:rPr>
          <w:lang w:val="en"/>
        </w:rPr>
        <w:t xml:space="preserve">tate aid rules do not exist in the </w:t>
      </w:r>
      <w:r w:rsidR="001D6C2C">
        <w:rPr>
          <w:lang w:val="en"/>
        </w:rPr>
        <w:t>D</w:t>
      </w:r>
      <w:r>
        <w:rPr>
          <w:lang w:val="en"/>
        </w:rPr>
        <w:t xml:space="preserve">raft </w:t>
      </w:r>
      <w:r w:rsidR="001D6C2C">
        <w:rPr>
          <w:lang w:val="en"/>
        </w:rPr>
        <w:t>A</w:t>
      </w:r>
      <w:r>
        <w:rPr>
          <w:lang w:val="en"/>
        </w:rPr>
        <w:t xml:space="preserve">greement, it is clear that </w:t>
      </w:r>
      <w:r w:rsidR="001D6C2C">
        <w:rPr>
          <w:lang w:val="en"/>
        </w:rPr>
        <w:t>during</w:t>
      </w:r>
      <w:r>
        <w:rPr>
          <w:lang w:val="en"/>
        </w:rPr>
        <w:t xml:space="preserve"> the transition period</w:t>
      </w:r>
      <w:r w:rsidR="001D6C2C">
        <w:rPr>
          <w:lang w:val="en"/>
        </w:rPr>
        <w:t xml:space="preserve">, EU State aid legislation </w:t>
      </w:r>
      <w:r>
        <w:rPr>
          <w:lang w:val="en"/>
        </w:rPr>
        <w:t>will be fully appl</w:t>
      </w:r>
      <w:r w:rsidR="001D6C2C">
        <w:rPr>
          <w:lang w:val="en"/>
        </w:rPr>
        <w:t>y</w:t>
      </w:r>
      <w:r>
        <w:rPr>
          <w:lang w:val="en"/>
        </w:rPr>
        <w:t xml:space="preserve"> </w:t>
      </w:r>
      <w:r w:rsidR="001D6C2C">
        <w:rPr>
          <w:lang w:val="en"/>
        </w:rPr>
        <w:t xml:space="preserve">to the United Kingdom, to the same extent as before Brexit. </w:t>
      </w:r>
    </w:p>
    <w:p w14:paraId="1CAC9ECD" w14:textId="77777777" w:rsidR="00F017A5" w:rsidRDefault="00F017A5" w:rsidP="0018082A">
      <w:pPr>
        <w:spacing w:line="360" w:lineRule="auto"/>
        <w:jc w:val="both"/>
      </w:pPr>
    </w:p>
    <w:p w14:paraId="46C93777" w14:textId="690807DB" w:rsidR="00C509F9" w:rsidRPr="00C509F9" w:rsidRDefault="002353CC" w:rsidP="0018082A">
      <w:pPr>
        <w:spacing w:line="360" w:lineRule="auto"/>
        <w:jc w:val="both"/>
        <w:rPr>
          <w:b/>
        </w:rPr>
      </w:pPr>
      <w:r>
        <w:rPr>
          <w:b/>
        </w:rPr>
        <w:t xml:space="preserve">b) </w:t>
      </w:r>
      <w:r w:rsidR="001D6C2C">
        <w:rPr>
          <w:b/>
        </w:rPr>
        <w:t xml:space="preserve">Legal Situation after </w:t>
      </w:r>
      <w:proofErr w:type="spellStart"/>
      <w:r w:rsidR="001D6C2C">
        <w:rPr>
          <w:b/>
        </w:rPr>
        <w:t>the</w:t>
      </w:r>
      <w:proofErr w:type="spellEnd"/>
      <w:r w:rsidR="001D6C2C">
        <w:rPr>
          <w:b/>
        </w:rPr>
        <w:t xml:space="preserve"> Transition </w:t>
      </w:r>
      <w:proofErr w:type="spellStart"/>
      <w:r w:rsidR="001D6C2C">
        <w:rPr>
          <w:b/>
        </w:rPr>
        <w:t>Period</w:t>
      </w:r>
      <w:proofErr w:type="spellEnd"/>
    </w:p>
    <w:p w14:paraId="3061AD5E" w14:textId="77777777" w:rsidR="00C509F9" w:rsidRDefault="00C509F9" w:rsidP="0018082A">
      <w:pPr>
        <w:spacing w:line="360" w:lineRule="auto"/>
        <w:jc w:val="both"/>
      </w:pPr>
    </w:p>
    <w:p w14:paraId="7640A481" w14:textId="2086DDC2" w:rsidR="00E26016" w:rsidRDefault="0010496A" w:rsidP="0018082A">
      <w:pPr>
        <w:spacing w:line="360" w:lineRule="auto"/>
        <w:jc w:val="both"/>
      </w:pPr>
      <w:r>
        <w:rPr>
          <w:lang w:val="en"/>
        </w:rPr>
        <w:t xml:space="preserve">For the time after the transitional period, </w:t>
      </w:r>
      <w:proofErr w:type="spellStart"/>
      <w:r>
        <w:rPr>
          <w:lang w:val="en"/>
        </w:rPr>
        <w:t>i</w:t>
      </w:r>
      <w:proofErr w:type="spellEnd"/>
      <w:r>
        <w:rPr>
          <w:lang w:val="en"/>
        </w:rPr>
        <w:t>. e. from January 1</w:t>
      </w:r>
      <w:r w:rsidRPr="0010496A">
        <w:rPr>
          <w:vertAlign w:val="superscript"/>
          <w:lang w:val="en"/>
        </w:rPr>
        <w:t>st</w:t>
      </w:r>
      <w:r>
        <w:rPr>
          <w:lang w:val="en"/>
        </w:rPr>
        <w:t xml:space="preserve">, 2021, the Draft Agreement does not contain any specific requirements concerning the structure and the substantive rules of State aid control in the United Kingdom, with an exception concerning Northern Ireland. This is quite surprising in view of the importance of well-functioning </w:t>
      </w:r>
      <w:r w:rsidR="00135DBB">
        <w:rPr>
          <w:lang w:val="en"/>
        </w:rPr>
        <w:t>S</w:t>
      </w:r>
      <w:r>
        <w:rPr>
          <w:lang w:val="en"/>
        </w:rPr>
        <w:t>tate aid r</w:t>
      </w:r>
      <w:r w:rsidR="00135DBB">
        <w:rPr>
          <w:lang w:val="en"/>
        </w:rPr>
        <w:t>egulation</w:t>
      </w:r>
      <w:r>
        <w:rPr>
          <w:lang w:val="en"/>
        </w:rPr>
        <w:t xml:space="preserve"> for ensuring free and undistorted competition under Article 3 (3) TEU in conjunction with Prot</w:t>
      </w:r>
      <w:r>
        <w:rPr>
          <w:lang w:val="en"/>
        </w:rPr>
        <w:t>o</w:t>
      </w:r>
      <w:r>
        <w:rPr>
          <w:lang w:val="en"/>
        </w:rPr>
        <w:t xml:space="preserve">col </w:t>
      </w:r>
      <w:r w:rsidR="00135DBB">
        <w:rPr>
          <w:lang w:val="en"/>
        </w:rPr>
        <w:t>N</w:t>
      </w:r>
      <w:r>
        <w:rPr>
          <w:lang w:val="en"/>
        </w:rPr>
        <w:t>o</w:t>
      </w:r>
      <w:r w:rsidR="00135DBB">
        <w:rPr>
          <w:lang w:val="en"/>
        </w:rPr>
        <w:t>.</w:t>
      </w:r>
      <w:r>
        <w:rPr>
          <w:lang w:val="en"/>
        </w:rPr>
        <w:t xml:space="preserve"> 27 to the TFEU</w:t>
      </w:r>
      <w:r w:rsidR="00BB3317">
        <w:rPr>
          <w:rStyle w:val="Funotenzeichen"/>
        </w:rPr>
        <w:footnoteReference w:id="67"/>
      </w:r>
      <w:r>
        <w:rPr>
          <w:lang w:val="en"/>
        </w:rPr>
        <w:t xml:space="preserve">. </w:t>
      </w:r>
      <w:r w:rsidR="005E5DCD">
        <w:rPr>
          <w:lang w:val="en"/>
        </w:rPr>
        <w:t>T</w:t>
      </w:r>
      <w:r>
        <w:rPr>
          <w:lang w:val="en"/>
        </w:rPr>
        <w:t>he European Council</w:t>
      </w:r>
      <w:r w:rsidR="005E5DCD">
        <w:rPr>
          <w:lang w:val="en"/>
        </w:rPr>
        <w:t xml:space="preserve">, in point </w:t>
      </w:r>
      <w:r>
        <w:rPr>
          <w:lang w:val="en"/>
        </w:rPr>
        <w:t>12 of its negotiating guidelines of March</w:t>
      </w:r>
      <w:r w:rsidR="005E5DCD">
        <w:rPr>
          <w:lang w:val="en"/>
        </w:rPr>
        <w:t xml:space="preserve"> 23,</w:t>
      </w:r>
      <w:r>
        <w:rPr>
          <w:lang w:val="en"/>
        </w:rPr>
        <w:t xml:space="preserve"> 2018</w:t>
      </w:r>
      <w:r w:rsidR="005E5DCD">
        <w:rPr>
          <w:lang w:val="en"/>
        </w:rPr>
        <w:t>,</w:t>
      </w:r>
      <w:r>
        <w:rPr>
          <w:lang w:val="en"/>
        </w:rPr>
        <w:t xml:space="preserve"> </w:t>
      </w:r>
      <w:r w:rsidR="005E5DCD">
        <w:rPr>
          <w:lang w:val="en"/>
        </w:rPr>
        <w:t xml:space="preserve">has also </w:t>
      </w:r>
      <w:r>
        <w:rPr>
          <w:lang w:val="en"/>
        </w:rPr>
        <w:t>emphasize</w:t>
      </w:r>
      <w:r w:rsidR="005E5DCD">
        <w:rPr>
          <w:lang w:val="en"/>
        </w:rPr>
        <w:t>d</w:t>
      </w:r>
      <w:r>
        <w:rPr>
          <w:lang w:val="en"/>
        </w:rPr>
        <w:t xml:space="preserve"> the importance of </w:t>
      </w:r>
      <w:r w:rsidR="005E5DCD">
        <w:rPr>
          <w:lang w:val="en"/>
        </w:rPr>
        <w:t>a level playing field preventing un</w:t>
      </w:r>
      <w:r>
        <w:rPr>
          <w:lang w:val="en"/>
        </w:rPr>
        <w:t>fair competi</w:t>
      </w:r>
      <w:r w:rsidR="005E5DCD">
        <w:rPr>
          <w:lang w:val="en"/>
        </w:rPr>
        <w:t>tion</w:t>
      </w:r>
      <w:r>
        <w:rPr>
          <w:lang w:val="en"/>
        </w:rPr>
        <w:t xml:space="preserve">, </w:t>
      </w:r>
      <w:r w:rsidR="005E5DCD">
        <w:rPr>
          <w:lang w:val="en"/>
        </w:rPr>
        <w:t>so that a combination of substantive State aid rules aligned with EU and intern</w:t>
      </w:r>
      <w:r w:rsidR="005E5DCD">
        <w:rPr>
          <w:lang w:val="en"/>
        </w:rPr>
        <w:t>a</w:t>
      </w:r>
      <w:r w:rsidR="005E5DCD">
        <w:rPr>
          <w:lang w:val="en"/>
        </w:rPr>
        <w:t xml:space="preserve">tional standards, as well as the </w:t>
      </w:r>
      <w:r>
        <w:rPr>
          <w:lang w:val="en"/>
        </w:rPr>
        <w:t>establish</w:t>
      </w:r>
      <w:r w:rsidR="005E5DCD">
        <w:rPr>
          <w:lang w:val="en"/>
        </w:rPr>
        <w:t>ment of</w:t>
      </w:r>
      <w:r>
        <w:rPr>
          <w:lang w:val="en"/>
        </w:rPr>
        <w:t xml:space="preserve"> effective enforcement mechanisms</w:t>
      </w:r>
      <w:r w:rsidR="005E5DCD">
        <w:rPr>
          <w:lang w:val="en"/>
        </w:rPr>
        <w:t xml:space="preserve">, will be required </w:t>
      </w:r>
      <w:r w:rsidR="00E30449">
        <w:rPr>
          <w:lang w:val="en"/>
        </w:rPr>
        <w:t>from the United Kingdom</w:t>
      </w:r>
      <w:r>
        <w:rPr>
          <w:lang w:val="en"/>
        </w:rPr>
        <w:t>.</w:t>
      </w:r>
      <w:r w:rsidR="00BB3317">
        <w:rPr>
          <w:rStyle w:val="Funotenzeichen"/>
        </w:rPr>
        <w:footnoteReference w:id="68"/>
      </w:r>
      <w:r>
        <w:rPr>
          <w:lang w:val="en"/>
        </w:rPr>
        <w:t xml:space="preserve"> In principle, the UK government </w:t>
      </w:r>
      <w:r w:rsidR="00E30449">
        <w:rPr>
          <w:lang w:val="en"/>
        </w:rPr>
        <w:t>takes the same view</w:t>
      </w:r>
      <w:r>
        <w:rPr>
          <w:lang w:val="en"/>
        </w:rPr>
        <w:t>. In its White Paper</w:t>
      </w:r>
      <w:r w:rsidR="00E30449">
        <w:rPr>
          <w:lang w:val="en"/>
        </w:rPr>
        <w:t xml:space="preserve"> “</w:t>
      </w:r>
      <w:r>
        <w:rPr>
          <w:lang w:val="en"/>
        </w:rPr>
        <w:t>The Future Relationship between the United Kingdom and the European Union</w:t>
      </w:r>
      <w:r w:rsidR="00E30449">
        <w:rPr>
          <w:lang w:val="en"/>
        </w:rPr>
        <w:t>”</w:t>
      </w:r>
      <w:r>
        <w:rPr>
          <w:lang w:val="en"/>
        </w:rPr>
        <w:t xml:space="preserve"> of July</w:t>
      </w:r>
      <w:r w:rsidR="00E30449">
        <w:rPr>
          <w:lang w:val="en"/>
        </w:rPr>
        <w:t xml:space="preserve"> 17,</w:t>
      </w:r>
      <w:r>
        <w:rPr>
          <w:lang w:val="en"/>
        </w:rPr>
        <w:t xml:space="preserve"> 2018</w:t>
      </w:r>
      <w:r w:rsidR="00BB3317">
        <w:rPr>
          <w:rStyle w:val="Funotenzeichen"/>
        </w:rPr>
        <w:footnoteReference w:id="69"/>
      </w:r>
      <w:r>
        <w:rPr>
          <w:lang w:val="en"/>
        </w:rPr>
        <w:t xml:space="preserve"> it envisages the</w:t>
      </w:r>
      <w:r w:rsidR="00172B85">
        <w:rPr>
          <w:lang w:val="en"/>
        </w:rPr>
        <w:t xml:space="preserve"> development and</w:t>
      </w:r>
      <w:r>
        <w:rPr>
          <w:lang w:val="en"/>
        </w:rPr>
        <w:t xml:space="preserve"> application of a common </w:t>
      </w:r>
      <w:r w:rsidR="00172B85">
        <w:rPr>
          <w:lang w:val="en"/>
        </w:rPr>
        <w:t>rul</w:t>
      </w:r>
      <w:r w:rsidR="00172B85">
        <w:rPr>
          <w:lang w:val="en"/>
        </w:rPr>
        <w:t>e</w:t>
      </w:r>
      <w:r w:rsidR="00172B85">
        <w:rPr>
          <w:lang w:val="en"/>
        </w:rPr>
        <w:t>book</w:t>
      </w:r>
      <w:r>
        <w:rPr>
          <w:lang w:val="en"/>
        </w:rPr>
        <w:t xml:space="preserve"> </w:t>
      </w:r>
      <w:r w:rsidR="00172B85">
        <w:rPr>
          <w:lang w:val="en"/>
        </w:rPr>
        <w:t xml:space="preserve">for State aid </w:t>
      </w:r>
      <w:r>
        <w:rPr>
          <w:lang w:val="en"/>
        </w:rPr>
        <w:t xml:space="preserve">and the establishment of cooperation </w:t>
      </w:r>
      <w:r w:rsidR="00172B85">
        <w:rPr>
          <w:lang w:val="en"/>
        </w:rPr>
        <w:t>arrangement</w:t>
      </w:r>
      <w:r>
        <w:rPr>
          <w:lang w:val="en"/>
        </w:rPr>
        <w:t xml:space="preserve">s between </w:t>
      </w:r>
      <w:r w:rsidR="00172B85">
        <w:rPr>
          <w:lang w:val="en"/>
        </w:rPr>
        <w:t>regulators on competition,</w:t>
      </w:r>
      <w:r>
        <w:rPr>
          <w:lang w:val="en"/>
        </w:rPr>
        <w:t xml:space="preserve"> in order to </w:t>
      </w:r>
      <w:r w:rsidR="00172B85">
        <w:rPr>
          <w:lang w:val="en"/>
        </w:rPr>
        <w:t xml:space="preserve">guarantee an open and fair trading environment on the basis of </w:t>
      </w:r>
      <w:r>
        <w:rPr>
          <w:lang w:val="en"/>
        </w:rPr>
        <w:t>fair competition.</w:t>
      </w:r>
      <w:r w:rsidR="00B1224F">
        <w:rPr>
          <w:rStyle w:val="Funotenzeichen"/>
        </w:rPr>
        <w:footnoteReference w:id="70"/>
      </w:r>
      <w:r>
        <w:rPr>
          <w:lang w:val="en"/>
        </w:rPr>
        <w:t xml:space="preserve"> It can be assumed that the common rule</w:t>
      </w:r>
      <w:r w:rsidR="00172B85">
        <w:rPr>
          <w:lang w:val="en"/>
        </w:rPr>
        <w:t>book</w:t>
      </w:r>
      <w:r>
        <w:rPr>
          <w:lang w:val="en"/>
        </w:rPr>
        <w:t xml:space="preserve"> will be strongly based on EU </w:t>
      </w:r>
      <w:r w:rsidR="00172B85">
        <w:rPr>
          <w:lang w:val="en"/>
        </w:rPr>
        <w:t>S</w:t>
      </w:r>
      <w:r>
        <w:rPr>
          <w:lang w:val="en"/>
        </w:rPr>
        <w:t xml:space="preserve">tate aid law, as the United Kingdom, as </w:t>
      </w:r>
      <w:r w:rsidR="00172B85">
        <w:rPr>
          <w:lang w:val="en"/>
        </w:rPr>
        <w:t xml:space="preserve">has been </w:t>
      </w:r>
      <w:r>
        <w:rPr>
          <w:lang w:val="en"/>
        </w:rPr>
        <w:t>s</w:t>
      </w:r>
      <w:r w:rsidR="00172B85">
        <w:rPr>
          <w:lang w:val="en"/>
        </w:rPr>
        <w:t>hown</w:t>
      </w:r>
      <w:r>
        <w:rPr>
          <w:lang w:val="en"/>
        </w:rPr>
        <w:t xml:space="preserve"> above</w:t>
      </w:r>
      <w:r w:rsidR="006A1E84">
        <w:rPr>
          <w:rStyle w:val="Funotenzeichen"/>
        </w:rPr>
        <w:footnoteReference w:id="71"/>
      </w:r>
      <w:r>
        <w:rPr>
          <w:lang w:val="en"/>
        </w:rPr>
        <w:t>,</w:t>
      </w:r>
      <w:r w:rsidR="00172B85">
        <w:rPr>
          <w:lang w:val="en"/>
        </w:rPr>
        <w:t xml:space="preserve"> is planning to transpose the EU State aid rules concerning all economic sectors into national law,</w:t>
      </w:r>
      <w:r>
        <w:rPr>
          <w:lang w:val="en"/>
        </w:rPr>
        <w:t xml:space="preserve"> even</w:t>
      </w:r>
      <w:r w:rsidR="00172B85">
        <w:rPr>
          <w:lang w:val="en"/>
        </w:rPr>
        <w:t xml:space="preserve"> in case</w:t>
      </w:r>
      <w:r>
        <w:rPr>
          <w:lang w:val="en"/>
        </w:rPr>
        <w:t xml:space="preserve"> a wit</w:t>
      </w:r>
      <w:r>
        <w:rPr>
          <w:lang w:val="en"/>
        </w:rPr>
        <w:t>h</w:t>
      </w:r>
      <w:r>
        <w:rPr>
          <w:lang w:val="en"/>
        </w:rPr>
        <w:t>drawal agreement</w:t>
      </w:r>
      <w:r w:rsidR="00172B85">
        <w:rPr>
          <w:lang w:val="en"/>
        </w:rPr>
        <w:t xml:space="preserve"> would not come into being. </w:t>
      </w:r>
      <w:r>
        <w:rPr>
          <w:lang w:val="en"/>
        </w:rPr>
        <w:t>In order to ensure a uniform interpretation of the common rule</w:t>
      </w:r>
      <w:r w:rsidR="00BB3317">
        <w:rPr>
          <w:lang w:val="en"/>
        </w:rPr>
        <w:t>book</w:t>
      </w:r>
      <w:r>
        <w:rPr>
          <w:lang w:val="en"/>
        </w:rPr>
        <w:t>, the UK Government has announced that the British courts will</w:t>
      </w:r>
      <w:r w:rsidR="00BB3317">
        <w:rPr>
          <w:lang w:val="en"/>
        </w:rPr>
        <w:t xml:space="preserve"> “pay due regard to EU case law”</w:t>
      </w:r>
      <w:r w:rsidR="00F80EC9">
        <w:rPr>
          <w:rStyle w:val="Funotenzeichen"/>
        </w:rPr>
        <w:footnoteReference w:id="72"/>
      </w:r>
      <w:r w:rsidR="00BB3317">
        <w:rPr>
          <w:lang w:val="en"/>
        </w:rPr>
        <w:t xml:space="preserve">, </w:t>
      </w:r>
      <w:r>
        <w:rPr>
          <w:lang w:val="en"/>
        </w:rPr>
        <w:t>which of course does not rule out any divergence in the inte</w:t>
      </w:r>
      <w:r>
        <w:rPr>
          <w:lang w:val="en"/>
        </w:rPr>
        <w:t>r</w:t>
      </w:r>
      <w:r>
        <w:rPr>
          <w:lang w:val="en"/>
        </w:rPr>
        <w:t>pretation of the relevant rules, even on key issues</w:t>
      </w:r>
      <w:r w:rsidR="00BB3317">
        <w:rPr>
          <w:lang w:val="en"/>
        </w:rPr>
        <w:t>.</w:t>
      </w:r>
    </w:p>
    <w:p w14:paraId="2DF3BD83" w14:textId="77777777" w:rsidR="00E26016" w:rsidRDefault="00E26016" w:rsidP="0018082A">
      <w:pPr>
        <w:spacing w:line="360" w:lineRule="auto"/>
        <w:jc w:val="both"/>
      </w:pPr>
    </w:p>
    <w:p w14:paraId="26DBEF3E" w14:textId="5D0D5DC7" w:rsidR="008B48F7" w:rsidRDefault="002273BD" w:rsidP="0018082A">
      <w:pPr>
        <w:spacing w:line="360" w:lineRule="auto"/>
        <w:jc w:val="both"/>
      </w:pPr>
      <w:r>
        <w:rPr>
          <w:lang w:val="en"/>
        </w:rPr>
        <w:t>Moreover</w:t>
      </w:r>
      <w:r w:rsidR="00B7035A">
        <w:rPr>
          <w:lang w:val="en"/>
        </w:rPr>
        <w:t xml:space="preserve">, the UK Government </w:t>
      </w:r>
      <w:r w:rsidR="002B1607">
        <w:rPr>
          <w:lang w:val="en"/>
        </w:rPr>
        <w:t>has subjected</w:t>
      </w:r>
      <w:r>
        <w:rPr>
          <w:lang w:val="en"/>
        </w:rPr>
        <w:t xml:space="preserve"> its willingness to establish </w:t>
      </w:r>
      <w:r w:rsidR="00B7035A">
        <w:rPr>
          <w:lang w:val="en"/>
        </w:rPr>
        <w:t xml:space="preserve">a common </w:t>
      </w:r>
      <w:r>
        <w:rPr>
          <w:lang w:val="en"/>
        </w:rPr>
        <w:t>rulebook to a reservation of national sovereignty</w:t>
      </w:r>
      <w:r w:rsidR="00B7035A">
        <w:rPr>
          <w:lang w:val="en"/>
        </w:rPr>
        <w:t xml:space="preserve">: </w:t>
      </w:r>
      <w:r w:rsidR="002B1607">
        <w:rPr>
          <w:lang w:val="en"/>
        </w:rPr>
        <w:t>T</w:t>
      </w:r>
      <w:r w:rsidR="00B7035A">
        <w:rPr>
          <w:lang w:val="en"/>
        </w:rPr>
        <w:t xml:space="preserve">he White Paper expressly states that the </w:t>
      </w:r>
      <w:r w:rsidR="00116F64">
        <w:rPr>
          <w:lang w:val="en"/>
        </w:rPr>
        <w:t xml:space="preserve">common rulebook is without prejudice to the </w:t>
      </w:r>
      <w:r w:rsidR="00B7035A">
        <w:rPr>
          <w:lang w:val="en"/>
        </w:rPr>
        <w:t>United Kingdom</w:t>
      </w:r>
      <w:r>
        <w:rPr>
          <w:lang w:val="en"/>
        </w:rPr>
        <w:t>’</w:t>
      </w:r>
      <w:r w:rsidR="00B7035A">
        <w:rPr>
          <w:lang w:val="en"/>
        </w:rPr>
        <w:t>s intention to</w:t>
      </w:r>
      <w:r w:rsidR="00116F64">
        <w:rPr>
          <w:lang w:val="en"/>
        </w:rPr>
        <w:t xml:space="preserve"> develop new tailored a</w:t>
      </w:r>
      <w:r w:rsidR="00116F64">
        <w:rPr>
          <w:lang w:val="en"/>
        </w:rPr>
        <w:t>r</w:t>
      </w:r>
      <w:r w:rsidR="00116F64">
        <w:rPr>
          <w:lang w:val="en"/>
        </w:rPr>
        <w:t>rangements in relation to payment to farmers and other land managers for environmental be</w:t>
      </w:r>
      <w:r w:rsidR="00116F64">
        <w:rPr>
          <w:lang w:val="en"/>
        </w:rPr>
        <w:t>n</w:t>
      </w:r>
      <w:r w:rsidR="00116F64">
        <w:rPr>
          <w:lang w:val="en"/>
        </w:rPr>
        <w:t>efits, and the UK’s future public procurement policy</w:t>
      </w:r>
      <w:r w:rsidR="00B7035A">
        <w:rPr>
          <w:lang w:val="en"/>
        </w:rPr>
        <w:t>.</w:t>
      </w:r>
      <w:r w:rsidR="004D19E3">
        <w:rPr>
          <w:rStyle w:val="Funotenzeichen"/>
        </w:rPr>
        <w:footnoteReference w:id="73"/>
      </w:r>
      <w:r w:rsidR="00B7035A">
        <w:rPr>
          <w:lang w:val="en"/>
        </w:rPr>
        <w:t xml:space="preserve"> In addition, the UK Government i</w:t>
      </w:r>
      <w:r w:rsidR="00B7035A">
        <w:rPr>
          <w:lang w:val="en"/>
        </w:rPr>
        <w:t>n</w:t>
      </w:r>
      <w:r w:rsidR="00B7035A">
        <w:rPr>
          <w:lang w:val="en"/>
        </w:rPr>
        <w:t>sists on the United Kingdom</w:t>
      </w:r>
      <w:r w:rsidR="00116F64">
        <w:rPr>
          <w:lang w:val="en"/>
        </w:rPr>
        <w:t xml:space="preserve"> national sovereignty concerning</w:t>
      </w:r>
      <w:r w:rsidR="00B7035A">
        <w:rPr>
          <w:lang w:val="en"/>
        </w:rPr>
        <w:t xml:space="preserve"> tax</w:t>
      </w:r>
      <w:r w:rsidR="00116F64">
        <w:rPr>
          <w:lang w:val="en"/>
        </w:rPr>
        <w:t>ation</w:t>
      </w:r>
      <w:r w:rsidR="00B7035A">
        <w:rPr>
          <w:lang w:val="en"/>
        </w:rPr>
        <w:t xml:space="preserve"> </w:t>
      </w:r>
      <w:r w:rsidR="00116F64">
        <w:rPr>
          <w:lang w:val="en"/>
        </w:rPr>
        <w:t>(“</w:t>
      </w:r>
      <w:r w:rsidR="00B7035A">
        <w:rPr>
          <w:lang w:val="en"/>
        </w:rPr>
        <w:t xml:space="preserve">[...] would not </w:t>
      </w:r>
      <w:r w:rsidR="00116F64">
        <w:rPr>
          <w:lang w:val="en"/>
        </w:rPr>
        <w:t>fetter</w:t>
      </w:r>
      <w:r w:rsidR="00B7035A">
        <w:rPr>
          <w:lang w:val="en"/>
        </w:rPr>
        <w:t xml:space="preserve"> i</w:t>
      </w:r>
      <w:r w:rsidR="00116F64">
        <w:rPr>
          <w:lang w:val="en"/>
        </w:rPr>
        <w:t>t</w:t>
      </w:r>
      <w:r w:rsidR="00B7035A">
        <w:rPr>
          <w:lang w:val="en"/>
        </w:rPr>
        <w:t>s sovereign discretion on tax</w:t>
      </w:r>
      <w:r w:rsidR="00116F64">
        <w:rPr>
          <w:lang w:val="en"/>
        </w:rPr>
        <w:t>”</w:t>
      </w:r>
      <w:r w:rsidR="00B7035A">
        <w:rPr>
          <w:lang w:val="en"/>
        </w:rPr>
        <w:t xml:space="preserve">), </w:t>
      </w:r>
      <w:r w:rsidR="00116F64">
        <w:rPr>
          <w:lang w:val="en"/>
        </w:rPr>
        <w:t>including its sovereign discretion to set direct or indirect tax rates, and to set its own minimum tax rates.</w:t>
      </w:r>
      <w:r w:rsidR="00D35A37">
        <w:rPr>
          <w:rStyle w:val="Funotenzeichen"/>
        </w:rPr>
        <w:footnoteReference w:id="74"/>
      </w:r>
      <w:r w:rsidR="00116F64">
        <w:rPr>
          <w:lang w:val="en"/>
        </w:rPr>
        <w:t xml:space="preserve"> </w:t>
      </w:r>
      <w:r w:rsidR="00B7035A">
        <w:rPr>
          <w:lang w:val="en"/>
        </w:rPr>
        <w:t xml:space="preserve">All this suggests that, although a common </w:t>
      </w:r>
      <w:r w:rsidR="00116F64">
        <w:rPr>
          <w:lang w:val="en"/>
        </w:rPr>
        <w:t>rul</w:t>
      </w:r>
      <w:r w:rsidR="00116F64">
        <w:rPr>
          <w:lang w:val="en"/>
        </w:rPr>
        <w:t>e</w:t>
      </w:r>
      <w:r w:rsidR="00116F64">
        <w:rPr>
          <w:lang w:val="en"/>
        </w:rPr>
        <w:t>book w</w:t>
      </w:r>
      <w:r w:rsidR="00B7035A">
        <w:rPr>
          <w:lang w:val="en"/>
        </w:rPr>
        <w:t xml:space="preserve">ill </w:t>
      </w:r>
      <w:r w:rsidR="00116F64">
        <w:rPr>
          <w:lang w:val="en"/>
        </w:rPr>
        <w:t xml:space="preserve">most probably </w:t>
      </w:r>
      <w:r w:rsidR="00B7035A">
        <w:rPr>
          <w:lang w:val="en"/>
        </w:rPr>
        <w:t>be adopted between the EU and the UK</w:t>
      </w:r>
      <w:r w:rsidR="00116F64">
        <w:rPr>
          <w:lang w:val="en"/>
        </w:rPr>
        <w:t xml:space="preserve"> on the basis of existing EU State aid rules</w:t>
      </w:r>
      <w:r w:rsidR="00B7035A">
        <w:rPr>
          <w:lang w:val="en"/>
        </w:rPr>
        <w:t xml:space="preserve">, </w:t>
      </w:r>
      <w:r w:rsidR="00116F64">
        <w:rPr>
          <w:lang w:val="en"/>
        </w:rPr>
        <w:t xml:space="preserve">it </w:t>
      </w:r>
      <w:r w:rsidR="00B7035A">
        <w:rPr>
          <w:lang w:val="en"/>
        </w:rPr>
        <w:t xml:space="preserve">will provide for </w:t>
      </w:r>
      <w:r w:rsidR="00116F64">
        <w:rPr>
          <w:lang w:val="en"/>
        </w:rPr>
        <w:t>extensive derogation possibilities</w:t>
      </w:r>
      <w:r w:rsidR="00B7035A">
        <w:rPr>
          <w:lang w:val="en"/>
        </w:rPr>
        <w:t xml:space="preserve"> for the United Kingdom in the</w:t>
      </w:r>
      <w:r w:rsidR="00116F64">
        <w:rPr>
          <w:lang w:val="en"/>
        </w:rPr>
        <w:t xml:space="preserve"> </w:t>
      </w:r>
      <w:r w:rsidR="00B7035A">
        <w:rPr>
          <w:lang w:val="en"/>
        </w:rPr>
        <w:t>areas</w:t>
      </w:r>
      <w:r w:rsidR="00116F64">
        <w:rPr>
          <w:lang w:val="en"/>
        </w:rPr>
        <w:t xml:space="preserve"> just mentioned</w:t>
      </w:r>
      <w:r w:rsidR="00B7035A">
        <w:rPr>
          <w:lang w:val="en"/>
        </w:rPr>
        <w:t>.</w:t>
      </w:r>
      <w:r w:rsidR="00E26016">
        <w:t xml:space="preserve"> </w:t>
      </w:r>
    </w:p>
    <w:p w14:paraId="4240852E" w14:textId="77777777" w:rsidR="006D4FAB" w:rsidRDefault="006D4FAB" w:rsidP="0018082A">
      <w:pPr>
        <w:spacing w:line="360" w:lineRule="auto"/>
        <w:jc w:val="both"/>
      </w:pPr>
    </w:p>
    <w:p w14:paraId="40420F1A" w14:textId="42E8C888" w:rsidR="006D4FAB" w:rsidRPr="006D4FAB" w:rsidRDefault="006D4FAB" w:rsidP="0018082A">
      <w:pPr>
        <w:spacing w:line="360" w:lineRule="auto"/>
        <w:jc w:val="both"/>
        <w:rPr>
          <w:b/>
        </w:rPr>
      </w:pPr>
      <w:r w:rsidRPr="006D4FAB">
        <w:rPr>
          <w:b/>
        </w:rPr>
        <w:t xml:space="preserve">c) </w:t>
      </w:r>
      <w:r w:rsidR="002E14FC">
        <w:rPr>
          <w:b/>
        </w:rPr>
        <w:t>S</w:t>
      </w:r>
      <w:r w:rsidR="004D19E3">
        <w:rPr>
          <w:b/>
        </w:rPr>
        <w:t xml:space="preserve">pecial Status </w:t>
      </w:r>
      <w:proofErr w:type="spellStart"/>
      <w:r w:rsidR="004D19E3">
        <w:rPr>
          <w:b/>
        </w:rPr>
        <w:t>of</w:t>
      </w:r>
      <w:proofErr w:type="spellEnd"/>
      <w:r w:rsidR="004D19E3">
        <w:rPr>
          <w:b/>
        </w:rPr>
        <w:t xml:space="preserve"> Northern </w:t>
      </w:r>
      <w:proofErr w:type="spellStart"/>
      <w:r w:rsidR="004D19E3">
        <w:rPr>
          <w:b/>
        </w:rPr>
        <w:t>Ireland</w:t>
      </w:r>
      <w:proofErr w:type="spellEnd"/>
    </w:p>
    <w:p w14:paraId="414A26AC" w14:textId="77777777" w:rsidR="006D4FAB" w:rsidRDefault="006D4FAB" w:rsidP="0018082A">
      <w:pPr>
        <w:spacing w:line="360" w:lineRule="auto"/>
        <w:jc w:val="both"/>
      </w:pPr>
    </w:p>
    <w:p w14:paraId="2D540E3A" w14:textId="52FB0DDB" w:rsidR="00D05265" w:rsidRDefault="002B1607" w:rsidP="0018082A">
      <w:pPr>
        <w:spacing w:line="360" w:lineRule="auto"/>
        <w:jc w:val="both"/>
      </w:pPr>
      <w:r>
        <w:rPr>
          <w:lang w:val="en"/>
        </w:rPr>
        <w:t>However, this view is limited by the particularities that shall apply to Northern Ireland under the Draft Agreement. Pursuant to Article 168 (3) of the Draft Agreement, the Protocol on Ir</w:t>
      </w:r>
      <w:r>
        <w:rPr>
          <w:lang w:val="en"/>
        </w:rPr>
        <w:t>e</w:t>
      </w:r>
      <w:r>
        <w:rPr>
          <w:lang w:val="en"/>
        </w:rPr>
        <w:t>land/Northern Ireland shall apply as from the end of the transition period. According to Art</w:t>
      </w:r>
      <w:r>
        <w:rPr>
          <w:lang w:val="en"/>
        </w:rPr>
        <w:t>i</w:t>
      </w:r>
      <w:r>
        <w:rPr>
          <w:lang w:val="en"/>
        </w:rPr>
        <w:t>cle 9 of that Protocol, the provisions of EU law on aids granted by States listed in Annex 2.9 to the Protocol, shall apply to the United Kingdom ‘with regard to Northern Ireland’. This expression is specified in Article 9 of the Protocol in the sense that only measures that affect trade between the territory of Northern Ireland and the EU shall be regarded as aid within the meaning of Article 107 (1) TFEU. Although Annex 2.9 is currently empty, it is likely that the EU will insist on applying the same aid regime on both sides of the border between Ireland and Northern Ireland. It can therefore be assumed that, in principle, the entire acquis on State aid will be included in the annex, with restrictions</w:t>
      </w:r>
      <w:r w:rsidR="00DF3706">
        <w:rPr>
          <w:lang w:val="en"/>
        </w:rPr>
        <w:t>, of course,</w:t>
      </w:r>
      <w:r>
        <w:rPr>
          <w:lang w:val="en"/>
        </w:rPr>
        <w:t xml:space="preserve"> for agricultural aid </w:t>
      </w:r>
      <w:r w:rsidR="00DF3706">
        <w:rPr>
          <w:lang w:val="en"/>
        </w:rPr>
        <w:t>as well as</w:t>
      </w:r>
      <w:r>
        <w:rPr>
          <w:lang w:val="en"/>
        </w:rPr>
        <w:t xml:space="preserve"> public procurement and tax </w:t>
      </w:r>
      <w:r w:rsidR="00DF3706">
        <w:rPr>
          <w:lang w:val="en"/>
        </w:rPr>
        <w:t>policy as a whole</w:t>
      </w:r>
      <w:r>
        <w:rPr>
          <w:lang w:val="en"/>
        </w:rPr>
        <w:t xml:space="preserve">, as the United Kingdom </w:t>
      </w:r>
      <w:r w:rsidR="00DF3706">
        <w:rPr>
          <w:lang w:val="en"/>
        </w:rPr>
        <w:t>has subjected these fields of policy to a strict reservation of national sovereignty</w:t>
      </w:r>
      <w:r>
        <w:rPr>
          <w:lang w:val="en"/>
        </w:rPr>
        <w:t xml:space="preserve"> in its White Paper of July</w:t>
      </w:r>
      <w:r w:rsidR="00DF3706">
        <w:rPr>
          <w:lang w:val="en"/>
        </w:rPr>
        <w:t xml:space="preserve"> 17,</w:t>
      </w:r>
      <w:r>
        <w:rPr>
          <w:lang w:val="en"/>
        </w:rPr>
        <w:t xml:space="preserve"> 2018</w:t>
      </w:r>
      <w:r w:rsidR="00DF3706">
        <w:rPr>
          <w:lang w:val="en"/>
        </w:rPr>
        <w:t>.</w:t>
      </w:r>
      <w:r w:rsidR="00DF3706">
        <w:rPr>
          <w:rStyle w:val="Funotenzeichen"/>
        </w:rPr>
        <w:footnoteReference w:id="75"/>
      </w:r>
    </w:p>
    <w:p w14:paraId="7281F779" w14:textId="77777777" w:rsidR="003566CF" w:rsidRDefault="003566CF" w:rsidP="0018082A">
      <w:pPr>
        <w:spacing w:line="360" w:lineRule="auto"/>
        <w:jc w:val="both"/>
      </w:pPr>
    </w:p>
    <w:p w14:paraId="56C129FC" w14:textId="6512DAD5" w:rsidR="00B2107C" w:rsidRDefault="00A31A96" w:rsidP="0018082A">
      <w:pPr>
        <w:spacing w:line="360" w:lineRule="auto"/>
        <w:jc w:val="both"/>
      </w:pPr>
      <w:r>
        <w:rPr>
          <w:lang w:val="en"/>
        </w:rPr>
        <w:t xml:space="preserve">However, that raises the problem of the application of different aid </w:t>
      </w:r>
      <w:r w:rsidR="00CF41BE">
        <w:rPr>
          <w:lang w:val="en"/>
        </w:rPr>
        <w:t>rul</w:t>
      </w:r>
      <w:r>
        <w:rPr>
          <w:lang w:val="en"/>
        </w:rPr>
        <w:t xml:space="preserve">es for Northern Ireland and the rest of the United Kingdom </w:t>
      </w:r>
      <w:r w:rsidR="00CF41BE">
        <w:rPr>
          <w:lang w:val="en"/>
        </w:rPr>
        <w:t xml:space="preserve">as it is </w:t>
      </w:r>
      <w:r>
        <w:rPr>
          <w:lang w:val="en"/>
        </w:rPr>
        <w:t>not covered by Article 9 in conjunction with A</w:t>
      </w:r>
      <w:r>
        <w:rPr>
          <w:lang w:val="en"/>
        </w:rPr>
        <w:t>n</w:t>
      </w:r>
      <w:r>
        <w:rPr>
          <w:lang w:val="en"/>
        </w:rPr>
        <w:t>nex 2</w:t>
      </w:r>
      <w:r w:rsidR="00CF41BE">
        <w:rPr>
          <w:lang w:val="en"/>
        </w:rPr>
        <w:t>.9 of the Protocol on Ireland/</w:t>
      </w:r>
      <w:r>
        <w:rPr>
          <w:lang w:val="en"/>
        </w:rPr>
        <w:t>Northern Ireland. Since it is difficult to imagine that the application of different State aid rules in different regions of the same country will not lead to distortions of competition within the country, it is not unlikely that the United Kingdom will extend the rules applicable to Northern Ireland to the whole of the State.</w:t>
      </w:r>
      <w:r w:rsidR="00CF41BE">
        <w:rPr>
          <w:rStyle w:val="Funotenzeichen"/>
        </w:rPr>
        <w:footnoteReference w:id="76"/>
      </w:r>
    </w:p>
    <w:p w14:paraId="4671FEA9" w14:textId="77777777" w:rsidR="00E26016" w:rsidRDefault="00E26016" w:rsidP="0018082A">
      <w:pPr>
        <w:spacing w:line="360" w:lineRule="auto"/>
        <w:jc w:val="both"/>
      </w:pPr>
    </w:p>
    <w:p w14:paraId="768C035F" w14:textId="7790CDAA" w:rsidR="00D05265" w:rsidRDefault="00D05265" w:rsidP="0018082A">
      <w:pPr>
        <w:spacing w:line="360" w:lineRule="auto"/>
        <w:jc w:val="both"/>
        <w:rPr>
          <w:b/>
        </w:rPr>
      </w:pPr>
      <w:r>
        <w:rPr>
          <w:b/>
        </w:rPr>
        <w:t xml:space="preserve">2. </w:t>
      </w:r>
      <w:proofErr w:type="spellStart"/>
      <w:r w:rsidR="00CF41BE">
        <w:rPr>
          <w:b/>
        </w:rPr>
        <w:t>Competences</w:t>
      </w:r>
      <w:proofErr w:type="spellEnd"/>
    </w:p>
    <w:p w14:paraId="18B645F0" w14:textId="77777777" w:rsidR="00D05265" w:rsidRDefault="00D05265" w:rsidP="0018082A">
      <w:pPr>
        <w:spacing w:line="360" w:lineRule="auto"/>
        <w:jc w:val="both"/>
      </w:pPr>
    </w:p>
    <w:p w14:paraId="1A774EA2" w14:textId="564881CA" w:rsidR="005163E5" w:rsidRPr="005163E5" w:rsidRDefault="005163E5" w:rsidP="0018082A">
      <w:pPr>
        <w:spacing w:line="360" w:lineRule="auto"/>
        <w:jc w:val="both"/>
        <w:rPr>
          <w:b/>
        </w:rPr>
      </w:pPr>
      <w:r w:rsidRPr="005163E5">
        <w:rPr>
          <w:b/>
        </w:rPr>
        <w:t xml:space="preserve">a) </w:t>
      </w:r>
      <w:r w:rsidR="00CF41BE">
        <w:rPr>
          <w:b/>
        </w:rPr>
        <w:t xml:space="preserve">European </w:t>
      </w:r>
      <w:proofErr w:type="spellStart"/>
      <w:r w:rsidR="00CF41BE">
        <w:rPr>
          <w:b/>
        </w:rPr>
        <w:t>Commission</w:t>
      </w:r>
      <w:proofErr w:type="spellEnd"/>
    </w:p>
    <w:p w14:paraId="6E106C59" w14:textId="77777777" w:rsidR="005163E5" w:rsidRDefault="005163E5" w:rsidP="0018082A">
      <w:pPr>
        <w:spacing w:line="360" w:lineRule="auto"/>
        <w:jc w:val="both"/>
      </w:pPr>
    </w:p>
    <w:p w14:paraId="735F8794" w14:textId="6CAD5C9B" w:rsidR="004D1462" w:rsidRDefault="00CF41BE" w:rsidP="004D1462">
      <w:pPr>
        <w:spacing w:line="360" w:lineRule="auto"/>
        <w:jc w:val="both"/>
      </w:pPr>
      <w:r w:rsidRPr="00FC3720">
        <w:rPr>
          <w:lang w:val="en"/>
        </w:rPr>
        <w:t>As regards the competence of the European Commission, the date of the initiation of the pr</w:t>
      </w:r>
      <w:r w:rsidRPr="00FC3720">
        <w:rPr>
          <w:lang w:val="en"/>
        </w:rPr>
        <w:t>o</w:t>
      </w:r>
      <w:r w:rsidRPr="00FC3720">
        <w:rPr>
          <w:lang w:val="en"/>
        </w:rPr>
        <w:t>cedure is decisive. If a State aid procedure has been formally registered with the Commission pursuant to Article 88 (2) of the Draft Agreement before the e</w:t>
      </w:r>
      <w:r w:rsidR="00FC3720" w:rsidRPr="00FC3720">
        <w:rPr>
          <w:lang w:val="en"/>
        </w:rPr>
        <w:t>nd</w:t>
      </w:r>
      <w:r w:rsidRPr="00FC3720">
        <w:rPr>
          <w:lang w:val="en"/>
        </w:rPr>
        <w:t xml:space="preserve"> of the transition period wit</w:t>
      </w:r>
      <w:r w:rsidRPr="00FC3720">
        <w:rPr>
          <w:lang w:val="en"/>
        </w:rPr>
        <w:t>h</w:t>
      </w:r>
      <w:r w:rsidRPr="00FC3720">
        <w:rPr>
          <w:lang w:val="en"/>
        </w:rPr>
        <w:t xml:space="preserve">in the meaning of Article 121 </w:t>
      </w:r>
      <w:r w:rsidR="00FC3720" w:rsidRPr="00FC3720">
        <w:rPr>
          <w:lang w:val="en"/>
        </w:rPr>
        <w:t>of</w:t>
      </w:r>
      <w:r w:rsidR="00FC3720">
        <w:rPr>
          <w:lang w:val="en"/>
        </w:rPr>
        <w:t xml:space="preserve"> the Draft Agreement</w:t>
      </w:r>
      <w:r>
        <w:rPr>
          <w:lang w:val="en"/>
        </w:rPr>
        <w:t xml:space="preserve">, </w:t>
      </w:r>
      <w:r w:rsidR="00FC3720">
        <w:rPr>
          <w:lang w:val="en"/>
        </w:rPr>
        <w:t xml:space="preserve">the Commission, in accordance with Article 88 (1) of the Draft Agreement, shall continue to be competent for the procedure until </w:t>
      </w:r>
      <w:r>
        <w:rPr>
          <w:lang w:val="en"/>
        </w:rPr>
        <w:t>it</w:t>
      </w:r>
      <w:r w:rsidR="00FC3720">
        <w:rPr>
          <w:lang w:val="en"/>
        </w:rPr>
        <w:t>s closure</w:t>
      </w:r>
      <w:r>
        <w:rPr>
          <w:lang w:val="en"/>
        </w:rPr>
        <w:t xml:space="preserve">. Under Article 89 </w:t>
      </w:r>
      <w:r w:rsidR="00FC3720">
        <w:rPr>
          <w:lang w:val="en"/>
        </w:rPr>
        <w:t>of the Draft Agreement</w:t>
      </w:r>
      <w:r>
        <w:rPr>
          <w:lang w:val="en"/>
        </w:rPr>
        <w:t xml:space="preserve">, the Commission </w:t>
      </w:r>
      <w:r w:rsidR="00FC3720">
        <w:rPr>
          <w:lang w:val="en"/>
        </w:rPr>
        <w:t>shall also be</w:t>
      </w:r>
      <w:r>
        <w:rPr>
          <w:lang w:val="en"/>
        </w:rPr>
        <w:t xml:space="preserve"> </w:t>
      </w:r>
      <w:r w:rsidR="00FC3720">
        <w:rPr>
          <w:lang w:val="en"/>
        </w:rPr>
        <w:t>competent to initiate new procedures</w:t>
      </w:r>
      <w:r>
        <w:rPr>
          <w:lang w:val="en"/>
        </w:rPr>
        <w:t xml:space="preserve"> </w:t>
      </w:r>
      <w:r w:rsidR="00FC3720">
        <w:rPr>
          <w:lang w:val="en"/>
        </w:rPr>
        <w:t xml:space="preserve">even </w:t>
      </w:r>
      <w:r>
        <w:rPr>
          <w:lang w:val="en"/>
        </w:rPr>
        <w:t xml:space="preserve">after the </w:t>
      </w:r>
      <w:r w:rsidR="00FC3720">
        <w:rPr>
          <w:lang w:val="en"/>
        </w:rPr>
        <w:t xml:space="preserve">end of the </w:t>
      </w:r>
      <w:r>
        <w:rPr>
          <w:lang w:val="en"/>
        </w:rPr>
        <w:t xml:space="preserve">transition period, if the facts </w:t>
      </w:r>
      <w:r w:rsidR="00FC3720">
        <w:rPr>
          <w:lang w:val="en"/>
        </w:rPr>
        <w:t>forming the subject matter of the procedure occurred before</w:t>
      </w:r>
      <w:r>
        <w:rPr>
          <w:lang w:val="en"/>
        </w:rPr>
        <w:t xml:space="preserve">. </w:t>
      </w:r>
      <w:r w:rsidR="00FC3720">
        <w:rPr>
          <w:lang w:val="en"/>
        </w:rPr>
        <w:t>With respect to</w:t>
      </w:r>
      <w:r>
        <w:rPr>
          <w:lang w:val="en"/>
        </w:rPr>
        <w:t xml:space="preserve"> aid granted by the United King</w:t>
      </w:r>
      <w:r w:rsidR="00FC3720">
        <w:rPr>
          <w:lang w:val="en"/>
        </w:rPr>
        <w:t xml:space="preserve">dom </w:t>
      </w:r>
      <w:r w:rsidR="006C11C0">
        <w:rPr>
          <w:lang w:val="en"/>
        </w:rPr>
        <w:t>before January 1</w:t>
      </w:r>
      <w:r w:rsidR="006C11C0" w:rsidRPr="006C11C0">
        <w:rPr>
          <w:vertAlign w:val="superscript"/>
          <w:lang w:val="en"/>
        </w:rPr>
        <w:t>st</w:t>
      </w:r>
      <w:r w:rsidR="00FC3720">
        <w:rPr>
          <w:lang w:val="en"/>
        </w:rPr>
        <w:t xml:space="preserve">, </w:t>
      </w:r>
      <w:r>
        <w:rPr>
          <w:lang w:val="en"/>
        </w:rPr>
        <w:t>202</w:t>
      </w:r>
      <w:r w:rsidR="006C11C0">
        <w:rPr>
          <w:lang w:val="en"/>
        </w:rPr>
        <w:t>1</w:t>
      </w:r>
      <w:r>
        <w:rPr>
          <w:lang w:val="en"/>
        </w:rPr>
        <w:t>, the Commission will therefore continue to exercise its s</w:t>
      </w:r>
      <w:r>
        <w:rPr>
          <w:lang w:val="en"/>
        </w:rPr>
        <w:t>u</w:t>
      </w:r>
      <w:r>
        <w:rPr>
          <w:lang w:val="en"/>
        </w:rPr>
        <w:t xml:space="preserve">pervisory role. However, </w:t>
      </w:r>
      <w:r w:rsidR="00FC3720">
        <w:rPr>
          <w:lang w:val="en"/>
        </w:rPr>
        <w:t xml:space="preserve">the </w:t>
      </w:r>
      <w:r w:rsidR="00E57B6D">
        <w:rPr>
          <w:lang w:val="en"/>
        </w:rPr>
        <w:t xml:space="preserve">CMA will be responsible for the </w:t>
      </w:r>
      <w:r w:rsidR="00FC3720">
        <w:rPr>
          <w:lang w:val="en"/>
        </w:rPr>
        <w:t xml:space="preserve">assessment of </w:t>
      </w:r>
      <w:r>
        <w:rPr>
          <w:lang w:val="en"/>
        </w:rPr>
        <w:t xml:space="preserve">aid granted </w:t>
      </w:r>
      <w:r w:rsidR="00FC3720">
        <w:rPr>
          <w:lang w:val="en"/>
        </w:rPr>
        <w:t>after that date</w:t>
      </w:r>
      <w:r>
        <w:rPr>
          <w:lang w:val="en"/>
        </w:rPr>
        <w:t>.</w:t>
      </w:r>
      <w:r w:rsidR="00EC62DD" w:rsidRPr="00EC62DD">
        <w:rPr>
          <w:rStyle w:val="Funotenzeichen"/>
        </w:rPr>
        <w:t xml:space="preserve"> </w:t>
      </w:r>
      <w:r w:rsidR="00EC62DD">
        <w:rPr>
          <w:rStyle w:val="Funotenzeichen"/>
        </w:rPr>
        <w:footnoteReference w:id="77"/>
      </w:r>
      <w:r w:rsidR="00F11DE4">
        <w:t xml:space="preserve"> </w:t>
      </w:r>
    </w:p>
    <w:p w14:paraId="2B7F73F6" w14:textId="77777777" w:rsidR="005A0694" w:rsidRDefault="005A0694" w:rsidP="0018082A">
      <w:pPr>
        <w:spacing w:line="360" w:lineRule="auto"/>
        <w:jc w:val="both"/>
      </w:pPr>
    </w:p>
    <w:p w14:paraId="69AE0445" w14:textId="5D2356D8" w:rsidR="005A0694" w:rsidRPr="005A0694" w:rsidRDefault="005A0694" w:rsidP="0018082A">
      <w:pPr>
        <w:spacing w:line="360" w:lineRule="auto"/>
        <w:jc w:val="both"/>
        <w:rPr>
          <w:b/>
        </w:rPr>
      </w:pPr>
      <w:r w:rsidRPr="005A0694">
        <w:rPr>
          <w:b/>
        </w:rPr>
        <w:t xml:space="preserve">b) </w:t>
      </w:r>
      <w:r w:rsidR="00CF41BE">
        <w:rPr>
          <w:b/>
        </w:rPr>
        <w:t xml:space="preserve">Court </w:t>
      </w:r>
      <w:proofErr w:type="spellStart"/>
      <w:r w:rsidR="00CF41BE">
        <w:rPr>
          <w:b/>
        </w:rPr>
        <w:t>of</w:t>
      </w:r>
      <w:proofErr w:type="spellEnd"/>
      <w:r w:rsidR="00CF41BE">
        <w:rPr>
          <w:b/>
        </w:rPr>
        <w:t xml:space="preserve"> Justice </w:t>
      </w:r>
      <w:proofErr w:type="spellStart"/>
      <w:r w:rsidR="00CF41BE">
        <w:rPr>
          <w:b/>
        </w:rPr>
        <w:t>of</w:t>
      </w:r>
      <w:proofErr w:type="spellEnd"/>
      <w:r w:rsidR="00CF41BE">
        <w:rPr>
          <w:b/>
        </w:rPr>
        <w:t xml:space="preserve"> </w:t>
      </w:r>
      <w:proofErr w:type="spellStart"/>
      <w:r w:rsidR="00CF41BE">
        <w:rPr>
          <w:b/>
        </w:rPr>
        <w:t>the</w:t>
      </w:r>
      <w:proofErr w:type="spellEnd"/>
      <w:r w:rsidR="00030606">
        <w:rPr>
          <w:b/>
        </w:rPr>
        <w:t xml:space="preserve"> EU</w:t>
      </w:r>
    </w:p>
    <w:p w14:paraId="43D0F440" w14:textId="77777777" w:rsidR="005A0694" w:rsidRDefault="005A0694" w:rsidP="0018082A">
      <w:pPr>
        <w:spacing w:line="360" w:lineRule="auto"/>
        <w:jc w:val="both"/>
      </w:pPr>
    </w:p>
    <w:p w14:paraId="7A19CDDD" w14:textId="2668B002" w:rsidR="00E3160D" w:rsidRDefault="004026C0" w:rsidP="0018082A">
      <w:pPr>
        <w:spacing w:line="360" w:lineRule="auto"/>
        <w:jc w:val="both"/>
      </w:pPr>
      <w:r>
        <w:rPr>
          <w:lang w:val="en"/>
        </w:rPr>
        <w:t>According to Article 91 (2) of the Draft Agreement, the Court of Justice of the EU is excl</w:t>
      </w:r>
      <w:r>
        <w:rPr>
          <w:lang w:val="en"/>
        </w:rPr>
        <w:t>u</w:t>
      </w:r>
      <w:r>
        <w:rPr>
          <w:lang w:val="en"/>
        </w:rPr>
        <w:t>sively competent to review t</w:t>
      </w:r>
      <w:r w:rsidR="00525CC3">
        <w:rPr>
          <w:lang w:val="en"/>
        </w:rPr>
        <w:t xml:space="preserve">he legality of Commission decisions </w:t>
      </w:r>
      <w:r>
        <w:rPr>
          <w:lang w:val="en"/>
        </w:rPr>
        <w:t xml:space="preserve">taken </w:t>
      </w:r>
      <w:r w:rsidR="00525CC3">
        <w:rPr>
          <w:lang w:val="en"/>
        </w:rPr>
        <w:t>under Article</w:t>
      </w:r>
      <w:r>
        <w:rPr>
          <w:lang w:val="en"/>
        </w:rPr>
        <w:t>s</w:t>
      </w:r>
      <w:r w:rsidR="00525CC3">
        <w:rPr>
          <w:lang w:val="en"/>
        </w:rPr>
        <w:t xml:space="preserve"> 88 </w:t>
      </w:r>
      <w:r>
        <w:rPr>
          <w:lang w:val="en"/>
        </w:rPr>
        <w:t>et seq</w:t>
      </w:r>
      <w:r w:rsidR="00525CC3">
        <w:rPr>
          <w:lang w:val="en"/>
        </w:rPr>
        <w:t xml:space="preserve">. </w:t>
      </w:r>
      <w:r>
        <w:rPr>
          <w:lang w:val="en"/>
        </w:rPr>
        <w:t>of the Draft Agreement.</w:t>
      </w:r>
      <w:r w:rsidR="00525CC3">
        <w:rPr>
          <w:lang w:val="en"/>
        </w:rPr>
        <w:t xml:space="preserve"> In any case, </w:t>
      </w:r>
      <w:r>
        <w:rPr>
          <w:lang w:val="en"/>
        </w:rPr>
        <w:t>as regards</w:t>
      </w:r>
      <w:r w:rsidR="00525CC3">
        <w:rPr>
          <w:lang w:val="en"/>
        </w:rPr>
        <w:t xml:space="preserve"> </w:t>
      </w:r>
      <w:r>
        <w:rPr>
          <w:lang w:val="en"/>
        </w:rPr>
        <w:t xml:space="preserve">State </w:t>
      </w:r>
      <w:r w:rsidR="00525CC3">
        <w:rPr>
          <w:lang w:val="en"/>
        </w:rPr>
        <w:t xml:space="preserve">aid </w:t>
      </w:r>
      <w:r>
        <w:rPr>
          <w:lang w:val="en"/>
        </w:rPr>
        <w:t>control</w:t>
      </w:r>
      <w:r w:rsidR="00525CC3">
        <w:rPr>
          <w:lang w:val="en"/>
        </w:rPr>
        <w:t xml:space="preserve">, no further jurisdiction under Article 82 (1) </w:t>
      </w:r>
      <w:r>
        <w:rPr>
          <w:lang w:val="en"/>
        </w:rPr>
        <w:t>of the Draft Agreement</w:t>
      </w:r>
      <w:r w:rsidR="00525CC3">
        <w:rPr>
          <w:lang w:val="en"/>
        </w:rPr>
        <w:t xml:space="preserve"> is apparent. However, the ECJ has jurisdiction to give preliminary rulings</w:t>
      </w:r>
      <w:r w:rsidR="006C11C0">
        <w:rPr>
          <w:lang w:val="en"/>
        </w:rPr>
        <w:t xml:space="preserve"> </w:t>
      </w:r>
      <w:proofErr w:type="spellStart"/>
      <w:r w:rsidR="006C11C0">
        <w:rPr>
          <w:lang w:val="en"/>
        </w:rPr>
        <w:t>eithre</w:t>
      </w:r>
      <w:proofErr w:type="spellEnd"/>
      <w:r>
        <w:rPr>
          <w:lang w:val="en"/>
        </w:rPr>
        <w:t xml:space="preserve"> </w:t>
      </w:r>
      <w:r w:rsidR="006C11C0">
        <w:rPr>
          <w:lang w:val="en"/>
        </w:rPr>
        <w:t>pursuant to Article 82 (2) of the Draft Agreement, where a pr</w:t>
      </w:r>
      <w:r w:rsidR="006C11C0">
        <w:rPr>
          <w:lang w:val="en"/>
        </w:rPr>
        <w:t>e</w:t>
      </w:r>
      <w:r w:rsidR="006C11C0">
        <w:rPr>
          <w:lang w:val="en"/>
        </w:rPr>
        <w:t>liminary question is</w:t>
      </w:r>
      <w:r>
        <w:rPr>
          <w:lang w:val="en"/>
        </w:rPr>
        <w:t xml:space="preserve"> referred to it before the end of the </w:t>
      </w:r>
      <w:r w:rsidR="00525CC3">
        <w:rPr>
          <w:lang w:val="en"/>
        </w:rPr>
        <w:t>transition period</w:t>
      </w:r>
      <w:r w:rsidR="006C11C0">
        <w:rPr>
          <w:lang w:val="en"/>
        </w:rPr>
        <w:t xml:space="preserve"> under Article 82 (2) of the Draft Agreement</w:t>
      </w:r>
      <w:r w:rsidR="00525CC3">
        <w:rPr>
          <w:lang w:val="en"/>
        </w:rPr>
        <w:t xml:space="preserve">, </w:t>
      </w:r>
      <w:proofErr w:type="spellStart"/>
      <w:r>
        <w:rPr>
          <w:lang w:val="en"/>
        </w:rPr>
        <w:t>i</w:t>
      </w:r>
      <w:proofErr w:type="spellEnd"/>
      <w:r w:rsidR="006C11C0">
        <w:rPr>
          <w:lang w:val="en"/>
        </w:rPr>
        <w:t xml:space="preserve">. </w:t>
      </w:r>
      <w:r>
        <w:rPr>
          <w:lang w:val="en"/>
        </w:rPr>
        <w:t>e</w:t>
      </w:r>
      <w:r w:rsidR="006C11C0">
        <w:rPr>
          <w:lang w:val="en"/>
        </w:rPr>
        <w:t xml:space="preserve">. </w:t>
      </w:r>
      <w:r>
        <w:rPr>
          <w:lang w:val="en"/>
        </w:rPr>
        <w:t xml:space="preserve"> </w:t>
      </w:r>
      <w:proofErr w:type="gramStart"/>
      <w:r>
        <w:rPr>
          <w:lang w:val="en"/>
        </w:rPr>
        <w:t>registered</w:t>
      </w:r>
      <w:proofErr w:type="gramEnd"/>
      <w:r>
        <w:rPr>
          <w:lang w:val="en"/>
        </w:rPr>
        <w:t xml:space="preserve"> by its registry pursuant to Article 82 (3) of the Draft Agreement</w:t>
      </w:r>
      <w:r w:rsidR="00525CC3">
        <w:rPr>
          <w:lang w:val="en"/>
        </w:rPr>
        <w:t xml:space="preserve">, or </w:t>
      </w:r>
      <w:r w:rsidR="006C11C0">
        <w:rPr>
          <w:lang w:val="en"/>
        </w:rPr>
        <w:t>pursuant to Article 83 (2) where a preliminary question relates to facts that o</w:t>
      </w:r>
      <w:r w:rsidR="006C11C0">
        <w:rPr>
          <w:lang w:val="en"/>
        </w:rPr>
        <w:t>c</w:t>
      </w:r>
      <w:r w:rsidR="006C11C0">
        <w:rPr>
          <w:lang w:val="en"/>
        </w:rPr>
        <w:t>curred</w:t>
      </w:r>
      <w:r w:rsidR="00525CC3">
        <w:rPr>
          <w:lang w:val="en"/>
        </w:rPr>
        <w:t xml:space="preserve"> before the end of the transition period</w:t>
      </w:r>
      <w:r w:rsidR="006C11C0">
        <w:rPr>
          <w:lang w:val="en"/>
        </w:rPr>
        <w:t xml:space="preserve">. </w:t>
      </w:r>
      <w:r w:rsidR="00525CC3">
        <w:rPr>
          <w:lang w:val="en"/>
        </w:rPr>
        <w:t xml:space="preserve">The latter is the case for aid granted by the United Kingdom </w:t>
      </w:r>
      <w:r w:rsidR="006C11C0">
        <w:rPr>
          <w:lang w:val="en"/>
        </w:rPr>
        <w:t>before January 1</w:t>
      </w:r>
      <w:r w:rsidR="006C11C0" w:rsidRPr="006C11C0">
        <w:rPr>
          <w:vertAlign w:val="superscript"/>
          <w:lang w:val="en"/>
        </w:rPr>
        <w:t>st</w:t>
      </w:r>
      <w:r w:rsidR="006C11C0">
        <w:rPr>
          <w:lang w:val="en"/>
        </w:rPr>
        <w:t xml:space="preserve">, </w:t>
      </w:r>
      <w:r w:rsidR="00525CC3">
        <w:rPr>
          <w:lang w:val="en"/>
        </w:rPr>
        <w:t>202</w:t>
      </w:r>
      <w:r w:rsidR="006C11C0">
        <w:rPr>
          <w:lang w:val="en"/>
        </w:rPr>
        <w:t>1</w:t>
      </w:r>
      <w:r w:rsidR="00525CC3">
        <w:rPr>
          <w:lang w:val="en"/>
        </w:rPr>
        <w:t>. For infringement</w:t>
      </w:r>
      <w:r w:rsidR="006C11C0">
        <w:rPr>
          <w:lang w:val="en"/>
        </w:rPr>
        <w:t>s</w:t>
      </w:r>
      <w:r w:rsidR="00525CC3">
        <w:rPr>
          <w:lang w:val="en"/>
        </w:rPr>
        <w:t xml:space="preserve"> proced</w:t>
      </w:r>
      <w:r w:rsidR="006C11C0">
        <w:rPr>
          <w:lang w:val="en"/>
        </w:rPr>
        <w:t>ures</w:t>
      </w:r>
      <w:r w:rsidR="00525CC3">
        <w:rPr>
          <w:lang w:val="en"/>
        </w:rPr>
        <w:t xml:space="preserve">, the ECJ also has jurisdiction under Article 83 (1) </w:t>
      </w:r>
      <w:r w:rsidR="006C11C0">
        <w:rPr>
          <w:lang w:val="en"/>
        </w:rPr>
        <w:t>of the Draft Agreement if infringements of the Treaties or the</w:t>
      </w:r>
      <w:r w:rsidR="00525CC3">
        <w:rPr>
          <w:lang w:val="en"/>
        </w:rPr>
        <w:t xml:space="preserve"> transitional provisions </w:t>
      </w:r>
      <w:r w:rsidR="006C11C0">
        <w:rPr>
          <w:lang w:val="en"/>
        </w:rPr>
        <w:t xml:space="preserve">laid down in the </w:t>
      </w:r>
      <w:r w:rsidR="00525CC3">
        <w:rPr>
          <w:lang w:val="en"/>
        </w:rPr>
        <w:t>Articles 121</w:t>
      </w:r>
      <w:r w:rsidR="006C11C0">
        <w:rPr>
          <w:lang w:val="en"/>
        </w:rPr>
        <w:t xml:space="preserve"> to </w:t>
      </w:r>
      <w:r w:rsidR="00525CC3">
        <w:rPr>
          <w:lang w:val="en"/>
        </w:rPr>
        <w:t xml:space="preserve">126 </w:t>
      </w:r>
      <w:r w:rsidR="006C11C0">
        <w:rPr>
          <w:lang w:val="en"/>
        </w:rPr>
        <w:t>of the Draft Agreement are at i</w:t>
      </w:r>
      <w:r w:rsidR="006C11C0">
        <w:rPr>
          <w:lang w:val="en"/>
        </w:rPr>
        <w:t>s</w:t>
      </w:r>
      <w:r w:rsidR="006C11C0">
        <w:rPr>
          <w:lang w:val="en"/>
        </w:rPr>
        <w:t>sue</w:t>
      </w:r>
      <w:r w:rsidR="00525CC3">
        <w:rPr>
          <w:lang w:val="en"/>
        </w:rPr>
        <w:t>,</w:t>
      </w:r>
      <w:r w:rsidR="006C11C0">
        <w:rPr>
          <w:lang w:val="en"/>
        </w:rPr>
        <w:t xml:space="preserve"> for example in case of</w:t>
      </w:r>
      <w:r w:rsidR="00525CC3">
        <w:rPr>
          <w:lang w:val="en"/>
        </w:rPr>
        <w:t xml:space="preserve"> failure to comply with a Commission decision on State aid</w:t>
      </w:r>
      <w:r w:rsidR="006C11C0">
        <w:rPr>
          <w:lang w:val="en"/>
        </w:rPr>
        <w:t>.</w:t>
      </w:r>
      <w:r w:rsidR="00525CC3">
        <w:rPr>
          <w:lang w:val="en"/>
        </w:rPr>
        <w:t xml:space="preserve"> In all other cases, </w:t>
      </w:r>
      <w:r w:rsidR="001D1036">
        <w:rPr>
          <w:lang w:val="en"/>
        </w:rPr>
        <w:t xml:space="preserve">there will be no jurisdiction of the </w:t>
      </w:r>
      <w:r w:rsidR="00525CC3">
        <w:rPr>
          <w:lang w:val="en"/>
        </w:rPr>
        <w:t>Court of Justice</w:t>
      </w:r>
      <w:r w:rsidR="001D1036">
        <w:rPr>
          <w:lang w:val="en"/>
        </w:rPr>
        <w:t xml:space="preserve"> of the EU, </w:t>
      </w:r>
      <w:r w:rsidR="00525CC3">
        <w:rPr>
          <w:lang w:val="en"/>
        </w:rPr>
        <w:t>and in particular, CMA measures will be</w:t>
      </w:r>
      <w:r w:rsidR="00920A2C">
        <w:rPr>
          <w:lang w:val="en"/>
        </w:rPr>
        <w:t xml:space="preserve"> able to be</w:t>
      </w:r>
      <w:r w:rsidR="00525CC3">
        <w:rPr>
          <w:lang w:val="en"/>
        </w:rPr>
        <w:t xml:space="preserve"> challenged only </w:t>
      </w:r>
      <w:r w:rsidR="001D1036">
        <w:rPr>
          <w:lang w:val="en"/>
        </w:rPr>
        <w:t>before the bodies designated</w:t>
      </w:r>
      <w:r w:rsidR="00525CC3">
        <w:rPr>
          <w:lang w:val="en"/>
        </w:rPr>
        <w:t xml:space="preserve"> by UK law.</w:t>
      </w:r>
      <w:r w:rsidR="00915D51">
        <w:t xml:space="preserve"> </w:t>
      </w:r>
    </w:p>
    <w:p w14:paraId="6F32C3B1" w14:textId="77777777" w:rsidR="00D568B6" w:rsidRDefault="00D568B6" w:rsidP="0018082A">
      <w:pPr>
        <w:spacing w:line="360" w:lineRule="auto"/>
        <w:jc w:val="both"/>
      </w:pPr>
    </w:p>
    <w:p w14:paraId="7D8D214F" w14:textId="0ED552E4" w:rsidR="006D4FAB" w:rsidRPr="006D4FAB" w:rsidRDefault="00915D51" w:rsidP="0018082A">
      <w:pPr>
        <w:spacing w:line="360" w:lineRule="auto"/>
        <w:jc w:val="both"/>
        <w:rPr>
          <w:b/>
        </w:rPr>
      </w:pPr>
      <w:r>
        <w:rPr>
          <w:b/>
        </w:rPr>
        <w:t xml:space="preserve">3. Private </w:t>
      </w:r>
      <w:proofErr w:type="spellStart"/>
      <w:r w:rsidR="00920A2C">
        <w:rPr>
          <w:b/>
        </w:rPr>
        <w:t>Enforcement</w:t>
      </w:r>
      <w:proofErr w:type="spellEnd"/>
    </w:p>
    <w:p w14:paraId="08026CA3" w14:textId="77777777" w:rsidR="006D4FAB" w:rsidRDefault="006D4FAB" w:rsidP="0018082A">
      <w:pPr>
        <w:spacing w:line="360" w:lineRule="auto"/>
        <w:jc w:val="both"/>
      </w:pPr>
    </w:p>
    <w:p w14:paraId="3CE3D260" w14:textId="45701611" w:rsidR="00915D51" w:rsidRPr="00915D51" w:rsidRDefault="00915D51" w:rsidP="0018082A">
      <w:pPr>
        <w:spacing w:line="360" w:lineRule="auto"/>
        <w:jc w:val="both"/>
        <w:rPr>
          <w:b/>
        </w:rPr>
      </w:pPr>
      <w:r w:rsidRPr="00915D51">
        <w:rPr>
          <w:b/>
        </w:rPr>
        <w:t xml:space="preserve">a) </w:t>
      </w:r>
      <w:proofErr w:type="spellStart"/>
      <w:r w:rsidR="00920A2C">
        <w:rPr>
          <w:b/>
        </w:rPr>
        <w:t>Enforcement</w:t>
      </w:r>
      <w:proofErr w:type="spellEnd"/>
      <w:r w:rsidR="00920A2C">
        <w:rPr>
          <w:b/>
        </w:rPr>
        <w:t xml:space="preserve"> </w:t>
      </w:r>
      <w:proofErr w:type="spellStart"/>
      <w:r w:rsidR="00920A2C">
        <w:rPr>
          <w:b/>
        </w:rPr>
        <w:t>by</w:t>
      </w:r>
      <w:proofErr w:type="spellEnd"/>
      <w:r w:rsidR="00920A2C">
        <w:rPr>
          <w:b/>
        </w:rPr>
        <w:t xml:space="preserve"> British Courts</w:t>
      </w:r>
      <w:r w:rsidRPr="00915D51">
        <w:rPr>
          <w:b/>
        </w:rPr>
        <w:t xml:space="preserve"> </w:t>
      </w:r>
    </w:p>
    <w:p w14:paraId="0B0A7542" w14:textId="77777777" w:rsidR="00915D51" w:rsidRDefault="00915D51" w:rsidP="0018082A">
      <w:pPr>
        <w:spacing w:line="360" w:lineRule="auto"/>
        <w:jc w:val="both"/>
      </w:pPr>
    </w:p>
    <w:p w14:paraId="2B12F6C1" w14:textId="7DD47162" w:rsidR="006D4FAB" w:rsidRDefault="007C4508" w:rsidP="0018082A">
      <w:pPr>
        <w:spacing w:line="360" w:lineRule="auto"/>
        <w:jc w:val="both"/>
      </w:pPr>
      <w:r>
        <w:rPr>
          <w:lang w:val="en"/>
        </w:rPr>
        <w:t>During the transition period, in which EU law will continue to apply in principle under Art</w:t>
      </w:r>
      <w:r>
        <w:rPr>
          <w:lang w:val="en"/>
        </w:rPr>
        <w:t>i</w:t>
      </w:r>
      <w:r>
        <w:rPr>
          <w:lang w:val="en"/>
        </w:rPr>
        <w:t>cle 122 (1) of the Draft Agreement, British courts will, as before, be required to draw the legal co</w:t>
      </w:r>
      <w:r>
        <w:rPr>
          <w:lang w:val="en"/>
        </w:rPr>
        <w:t>n</w:t>
      </w:r>
      <w:r>
        <w:rPr>
          <w:lang w:val="en"/>
        </w:rPr>
        <w:t>sequences of a breach of State aid law and in particular to neutralize aid that is contrary to EU law. This should also apply to proce</w:t>
      </w:r>
      <w:r w:rsidR="009D1D97">
        <w:rPr>
          <w:lang w:val="en"/>
        </w:rPr>
        <w:t>dures</w:t>
      </w:r>
      <w:r>
        <w:rPr>
          <w:lang w:val="en"/>
        </w:rPr>
        <w:t xml:space="preserve"> initiated after the end of the transition period in so far as they relate to violations of EU </w:t>
      </w:r>
      <w:r w:rsidR="009D1D97">
        <w:rPr>
          <w:lang w:val="en"/>
        </w:rPr>
        <w:t>S</w:t>
      </w:r>
      <w:r>
        <w:rPr>
          <w:lang w:val="en"/>
        </w:rPr>
        <w:t xml:space="preserve">tate aid law. The </w:t>
      </w:r>
      <w:proofErr w:type="spellStart"/>
      <w:r>
        <w:rPr>
          <w:lang w:val="en"/>
        </w:rPr>
        <w:t>effet</w:t>
      </w:r>
      <w:proofErr w:type="spellEnd"/>
      <w:r>
        <w:rPr>
          <w:lang w:val="en"/>
        </w:rPr>
        <w:t xml:space="preserve"> utile and the consequent r</w:t>
      </w:r>
      <w:r>
        <w:rPr>
          <w:lang w:val="en"/>
        </w:rPr>
        <w:t>e</w:t>
      </w:r>
      <w:r>
        <w:rPr>
          <w:lang w:val="en"/>
        </w:rPr>
        <w:t>quirement for effective private remedies is also part of EU law</w:t>
      </w:r>
      <w:r w:rsidR="009D1D97">
        <w:rPr>
          <w:lang w:val="en"/>
        </w:rPr>
        <w:t>, even where</w:t>
      </w:r>
      <w:r>
        <w:rPr>
          <w:lang w:val="en"/>
        </w:rPr>
        <w:t xml:space="preserve"> it applies</w:t>
      </w:r>
      <w:r w:rsidR="009D1D97">
        <w:rPr>
          <w:lang w:val="en"/>
        </w:rPr>
        <w:t xml:space="preserve"> </w:t>
      </w:r>
      <w:proofErr w:type="gramStart"/>
      <w:r w:rsidR="009D1D97">
        <w:rPr>
          <w:lang w:val="en"/>
        </w:rPr>
        <w:t xml:space="preserve">only </w:t>
      </w:r>
      <w:r>
        <w:rPr>
          <w:lang w:val="en"/>
        </w:rPr>
        <w:t xml:space="preserve"> </w:t>
      </w:r>
      <w:r w:rsidR="009D1D97">
        <w:rPr>
          <w:lang w:val="en"/>
        </w:rPr>
        <w:t>by</w:t>
      </w:r>
      <w:proofErr w:type="gramEnd"/>
      <w:r w:rsidR="009D1D97">
        <w:rPr>
          <w:lang w:val="en"/>
        </w:rPr>
        <w:t xml:space="preserve"> means of</w:t>
      </w:r>
      <w:r>
        <w:rPr>
          <w:lang w:val="en"/>
        </w:rPr>
        <w:t xml:space="preserve"> Art</w:t>
      </w:r>
      <w:r w:rsidR="009D1D97">
        <w:rPr>
          <w:lang w:val="en"/>
        </w:rPr>
        <w:t>icle</w:t>
      </w:r>
      <w:r>
        <w:rPr>
          <w:lang w:val="en"/>
        </w:rPr>
        <w:t xml:space="preserve"> 122 (1) </w:t>
      </w:r>
      <w:r w:rsidR="009D1D97">
        <w:rPr>
          <w:lang w:val="en"/>
        </w:rPr>
        <w:t>of the Draft Agreement</w:t>
      </w:r>
      <w:r>
        <w:rPr>
          <w:lang w:val="en"/>
        </w:rPr>
        <w:t>. However,</w:t>
      </w:r>
      <w:r w:rsidR="009D1D97">
        <w:rPr>
          <w:lang w:val="en"/>
        </w:rPr>
        <w:t xml:space="preserve"> </w:t>
      </w:r>
      <w:r>
        <w:rPr>
          <w:lang w:val="en"/>
        </w:rPr>
        <w:t xml:space="preserve">in the case of infringements of </w:t>
      </w:r>
      <w:r w:rsidR="009D1D97">
        <w:rPr>
          <w:lang w:val="en"/>
        </w:rPr>
        <w:t xml:space="preserve">those (national) </w:t>
      </w:r>
      <w:r>
        <w:rPr>
          <w:lang w:val="en"/>
        </w:rPr>
        <w:t xml:space="preserve">State aid rules </w:t>
      </w:r>
      <w:r w:rsidR="009D1D97">
        <w:rPr>
          <w:lang w:val="en"/>
        </w:rPr>
        <w:t xml:space="preserve">that will be </w:t>
      </w:r>
      <w:r>
        <w:rPr>
          <w:lang w:val="en"/>
        </w:rPr>
        <w:t xml:space="preserve">applicable after the end of the transitional period in the United Kingdom, such an obligation </w:t>
      </w:r>
      <w:r w:rsidR="009D1D97">
        <w:rPr>
          <w:lang w:val="en"/>
        </w:rPr>
        <w:t xml:space="preserve">of British courts </w:t>
      </w:r>
      <w:r>
        <w:rPr>
          <w:lang w:val="en"/>
        </w:rPr>
        <w:t>can only be assumed if the common State aid rule</w:t>
      </w:r>
      <w:r w:rsidR="009D1D97">
        <w:rPr>
          <w:lang w:val="en"/>
        </w:rPr>
        <w:t>book announced</w:t>
      </w:r>
      <w:r>
        <w:rPr>
          <w:lang w:val="en"/>
        </w:rPr>
        <w:t xml:space="preserve"> in the White Paper of the UK Government</w:t>
      </w:r>
      <w:r w:rsidR="00595982">
        <w:rPr>
          <w:rStyle w:val="Funotenzeichen"/>
        </w:rPr>
        <w:footnoteReference w:id="78"/>
      </w:r>
      <w:r>
        <w:rPr>
          <w:lang w:val="en"/>
        </w:rPr>
        <w:t xml:space="preserve"> </w:t>
      </w:r>
      <w:r w:rsidR="009D1D97">
        <w:rPr>
          <w:lang w:val="en"/>
        </w:rPr>
        <w:t xml:space="preserve">shall </w:t>
      </w:r>
      <w:r>
        <w:rPr>
          <w:lang w:val="en"/>
        </w:rPr>
        <w:t>be interpreted in that sense; this is likely to be the case with respect to pr</w:t>
      </w:r>
      <w:r>
        <w:rPr>
          <w:lang w:val="en"/>
        </w:rPr>
        <w:t>o</w:t>
      </w:r>
      <w:r>
        <w:rPr>
          <w:lang w:val="en"/>
        </w:rPr>
        <w:t>visions of EU law, such as Art</w:t>
      </w:r>
      <w:r w:rsidR="00595982">
        <w:rPr>
          <w:lang w:val="en"/>
        </w:rPr>
        <w:t>icle</w:t>
      </w:r>
      <w:r>
        <w:rPr>
          <w:lang w:val="en"/>
        </w:rPr>
        <w:t xml:space="preserve"> 108 TFEU, </w:t>
      </w:r>
      <w:r w:rsidR="00595982">
        <w:rPr>
          <w:lang w:val="en"/>
        </w:rPr>
        <w:t xml:space="preserve">that shall be </w:t>
      </w:r>
      <w:r>
        <w:rPr>
          <w:lang w:val="en"/>
        </w:rPr>
        <w:t xml:space="preserve">incorporated into the </w:t>
      </w:r>
      <w:r w:rsidR="00595982">
        <w:rPr>
          <w:lang w:val="en"/>
        </w:rPr>
        <w:t>common rulebook</w:t>
      </w:r>
      <w:r>
        <w:rPr>
          <w:lang w:val="en"/>
        </w:rPr>
        <w:t xml:space="preserve">. As far as EU state aid law is applicable </w:t>
      </w:r>
      <w:r w:rsidR="003015E6">
        <w:rPr>
          <w:lang w:val="en"/>
        </w:rPr>
        <w:t>pursuant to</w:t>
      </w:r>
      <w:r>
        <w:rPr>
          <w:lang w:val="en"/>
        </w:rPr>
        <w:t xml:space="preserve"> Article 9 in conjunction with Annex 2.9 of the Protocol on Ir</w:t>
      </w:r>
      <w:r>
        <w:rPr>
          <w:lang w:val="en"/>
        </w:rPr>
        <w:t>e</w:t>
      </w:r>
      <w:r>
        <w:rPr>
          <w:lang w:val="en"/>
        </w:rPr>
        <w:t>land/Northern Ireland, private law enforcement</w:t>
      </w:r>
      <w:r w:rsidR="00595982">
        <w:rPr>
          <w:lang w:val="en"/>
        </w:rPr>
        <w:t xml:space="preserve"> shall</w:t>
      </w:r>
      <w:r>
        <w:rPr>
          <w:lang w:val="en"/>
        </w:rPr>
        <w:t xml:space="preserve"> also</w:t>
      </w:r>
      <w:r w:rsidR="00595982">
        <w:rPr>
          <w:lang w:val="en"/>
        </w:rPr>
        <w:t xml:space="preserve"> be</w:t>
      </w:r>
      <w:r>
        <w:rPr>
          <w:lang w:val="en"/>
        </w:rPr>
        <w:t xml:space="preserve"> po</w:t>
      </w:r>
      <w:r>
        <w:rPr>
          <w:lang w:val="en"/>
        </w:rPr>
        <w:t>s</w:t>
      </w:r>
      <w:r>
        <w:rPr>
          <w:lang w:val="en"/>
        </w:rPr>
        <w:t>sible.</w:t>
      </w:r>
    </w:p>
    <w:p w14:paraId="72283416" w14:textId="77777777" w:rsidR="00974CE1" w:rsidRDefault="00974CE1" w:rsidP="0018082A">
      <w:pPr>
        <w:spacing w:line="360" w:lineRule="auto"/>
        <w:jc w:val="both"/>
      </w:pPr>
    </w:p>
    <w:p w14:paraId="0B633465" w14:textId="4BB24505" w:rsidR="00974CE1" w:rsidRPr="00974CE1" w:rsidRDefault="00974CE1" w:rsidP="0018082A">
      <w:pPr>
        <w:spacing w:line="360" w:lineRule="auto"/>
        <w:jc w:val="both"/>
        <w:rPr>
          <w:b/>
        </w:rPr>
      </w:pPr>
      <w:r w:rsidRPr="00974CE1">
        <w:rPr>
          <w:b/>
        </w:rPr>
        <w:t xml:space="preserve">b) </w:t>
      </w:r>
      <w:proofErr w:type="spellStart"/>
      <w:r w:rsidR="00595982">
        <w:rPr>
          <w:b/>
        </w:rPr>
        <w:t>Enforcement</w:t>
      </w:r>
      <w:proofErr w:type="spellEnd"/>
      <w:r w:rsidR="00595982">
        <w:rPr>
          <w:b/>
        </w:rPr>
        <w:t xml:space="preserve"> </w:t>
      </w:r>
      <w:proofErr w:type="spellStart"/>
      <w:r w:rsidR="00595982">
        <w:rPr>
          <w:b/>
        </w:rPr>
        <w:t>by</w:t>
      </w:r>
      <w:proofErr w:type="spellEnd"/>
      <w:r w:rsidR="00595982">
        <w:rPr>
          <w:b/>
        </w:rPr>
        <w:t xml:space="preserve"> Member State </w:t>
      </w:r>
      <w:r w:rsidR="00D13078">
        <w:rPr>
          <w:b/>
        </w:rPr>
        <w:t>C</w:t>
      </w:r>
      <w:r w:rsidR="00595982">
        <w:rPr>
          <w:b/>
        </w:rPr>
        <w:t>ourts</w:t>
      </w:r>
    </w:p>
    <w:p w14:paraId="77DDB8AA" w14:textId="77777777" w:rsidR="00974CE1" w:rsidRDefault="00974CE1" w:rsidP="0018082A">
      <w:pPr>
        <w:spacing w:line="360" w:lineRule="auto"/>
        <w:jc w:val="both"/>
      </w:pPr>
    </w:p>
    <w:p w14:paraId="44F231F9" w14:textId="2FB0E398" w:rsidR="00974CE1" w:rsidRDefault="00D13078" w:rsidP="0018082A">
      <w:pPr>
        <w:spacing w:line="360" w:lineRule="auto"/>
        <w:jc w:val="both"/>
      </w:pPr>
      <w:r>
        <w:rPr>
          <w:lang w:val="en"/>
        </w:rPr>
        <w:t xml:space="preserve">Where after Brexit, national courts will have to deal with aid granted by a UK grantor in breach of EU law, </w:t>
      </w:r>
      <w:r w:rsidR="003015E6">
        <w:rPr>
          <w:lang w:val="en"/>
        </w:rPr>
        <w:t>regardless of</w:t>
      </w:r>
      <w:r w:rsidR="0065018B">
        <w:rPr>
          <w:lang w:val="en"/>
        </w:rPr>
        <w:t xml:space="preserve"> whether</w:t>
      </w:r>
      <w:r>
        <w:rPr>
          <w:lang w:val="en"/>
        </w:rPr>
        <w:t xml:space="preserve"> EU law </w:t>
      </w:r>
      <w:r w:rsidR="0065018B">
        <w:rPr>
          <w:lang w:val="en"/>
        </w:rPr>
        <w:t>is directly</w:t>
      </w:r>
      <w:r w:rsidR="003015E6">
        <w:rPr>
          <w:lang w:val="en"/>
        </w:rPr>
        <w:t xml:space="preserve"> applicable </w:t>
      </w:r>
      <w:r>
        <w:rPr>
          <w:lang w:val="en"/>
        </w:rPr>
        <w:t>or</w:t>
      </w:r>
      <w:r w:rsidR="0065018B">
        <w:rPr>
          <w:lang w:val="en"/>
        </w:rPr>
        <w:t xml:space="preserve"> only</w:t>
      </w:r>
      <w:r>
        <w:rPr>
          <w:lang w:val="en"/>
        </w:rPr>
        <w:t xml:space="preserve"> by virtue of Article 122 (1) of the Draft Agreement or </w:t>
      </w:r>
      <w:r w:rsidR="0065018B">
        <w:rPr>
          <w:lang w:val="en"/>
        </w:rPr>
        <w:t xml:space="preserve">of </w:t>
      </w:r>
      <w:r w:rsidR="003015E6">
        <w:rPr>
          <w:lang w:val="en"/>
        </w:rPr>
        <w:t>A</w:t>
      </w:r>
      <w:r>
        <w:rPr>
          <w:lang w:val="en"/>
        </w:rPr>
        <w:t xml:space="preserve">rticle 9 </w:t>
      </w:r>
      <w:r w:rsidR="003015E6">
        <w:rPr>
          <w:lang w:val="en"/>
        </w:rPr>
        <w:t xml:space="preserve">in conjunction with Annex 2.9 of the Protocol on Ireland/Northern </w:t>
      </w:r>
      <w:proofErr w:type="spellStart"/>
      <w:r w:rsidR="003015E6">
        <w:rPr>
          <w:lang w:val="en"/>
        </w:rPr>
        <w:t>Irleand</w:t>
      </w:r>
      <w:proofErr w:type="spellEnd"/>
      <w:r>
        <w:rPr>
          <w:lang w:val="en"/>
        </w:rPr>
        <w:t>, the legal situation is in line with the assumptions a</w:t>
      </w:r>
      <w:r>
        <w:rPr>
          <w:lang w:val="en"/>
        </w:rPr>
        <w:t>l</w:t>
      </w:r>
      <w:r>
        <w:rPr>
          <w:lang w:val="en"/>
        </w:rPr>
        <w:t xml:space="preserve">ready made in the </w:t>
      </w:r>
      <w:r w:rsidR="003015E6">
        <w:rPr>
          <w:lang w:val="en"/>
        </w:rPr>
        <w:t>context</w:t>
      </w:r>
      <w:r>
        <w:rPr>
          <w:lang w:val="en"/>
        </w:rPr>
        <w:t xml:space="preserve"> of the non-conclusion of an exit agreement.</w:t>
      </w:r>
      <w:r w:rsidR="00736776">
        <w:rPr>
          <w:rStyle w:val="Funotenzeichen"/>
        </w:rPr>
        <w:footnoteReference w:id="79"/>
      </w:r>
      <w:r>
        <w:rPr>
          <w:lang w:val="en"/>
        </w:rPr>
        <w:t xml:space="preserve"> According to Art</w:t>
      </w:r>
      <w:r w:rsidR="0065018B">
        <w:rPr>
          <w:lang w:val="en"/>
        </w:rPr>
        <w:t>icle</w:t>
      </w:r>
      <w:r>
        <w:rPr>
          <w:lang w:val="en"/>
        </w:rPr>
        <w:t xml:space="preserve"> 63 </w:t>
      </w:r>
      <w:r w:rsidR="0065018B">
        <w:rPr>
          <w:lang w:val="en"/>
        </w:rPr>
        <w:t xml:space="preserve">(2) </w:t>
      </w:r>
      <w:r>
        <w:rPr>
          <w:lang w:val="en"/>
        </w:rPr>
        <w:t xml:space="preserve">(a) </w:t>
      </w:r>
      <w:r w:rsidR="0065018B">
        <w:rPr>
          <w:lang w:val="en"/>
        </w:rPr>
        <w:t>of the Draft Agreement, as</w:t>
      </w:r>
      <w:r>
        <w:rPr>
          <w:lang w:val="en"/>
        </w:rPr>
        <w:t xml:space="preserve"> inserted by the Joint Declaration of the EU and United Kingdom negotiators of June</w:t>
      </w:r>
      <w:r w:rsidR="0065018B">
        <w:rPr>
          <w:lang w:val="en"/>
        </w:rPr>
        <w:t xml:space="preserve"> 19,</w:t>
      </w:r>
      <w:r>
        <w:rPr>
          <w:lang w:val="en"/>
        </w:rPr>
        <w:t xml:space="preserve"> 2018, </w:t>
      </w:r>
      <w:r w:rsidR="0065018B">
        <w:rPr>
          <w:lang w:val="en"/>
        </w:rPr>
        <w:t xml:space="preserve">the recognition and enforcement of judgments given in legal proceedings instituted </w:t>
      </w:r>
      <w:r>
        <w:rPr>
          <w:lang w:val="en"/>
        </w:rPr>
        <w:t xml:space="preserve">before the end of the transition period, </w:t>
      </w:r>
      <w:r w:rsidR="0065018B">
        <w:rPr>
          <w:lang w:val="en"/>
        </w:rPr>
        <w:t>shall follow the prov</w:t>
      </w:r>
      <w:r w:rsidR="0065018B">
        <w:rPr>
          <w:lang w:val="en"/>
        </w:rPr>
        <w:t>i</w:t>
      </w:r>
      <w:r w:rsidR="0065018B">
        <w:rPr>
          <w:lang w:val="en"/>
        </w:rPr>
        <w:t xml:space="preserve">sions of the Brussels </w:t>
      </w:r>
      <w:proofErr w:type="spellStart"/>
      <w:r w:rsidR="0065018B">
        <w:rPr>
          <w:lang w:val="en"/>
        </w:rPr>
        <w:t>Ia</w:t>
      </w:r>
      <w:proofErr w:type="spellEnd"/>
      <w:r w:rsidR="0065018B">
        <w:rPr>
          <w:lang w:val="en"/>
        </w:rPr>
        <w:t xml:space="preserve"> Regulation.</w:t>
      </w:r>
      <w:r w:rsidR="00663589">
        <w:t xml:space="preserve"> </w:t>
      </w:r>
      <w:r w:rsidR="00380DEC">
        <w:t xml:space="preserve"> </w:t>
      </w:r>
    </w:p>
    <w:p w14:paraId="4D9A774E" w14:textId="77777777" w:rsidR="00A755B1" w:rsidRPr="00064EC4" w:rsidRDefault="00A755B1" w:rsidP="0018082A">
      <w:pPr>
        <w:spacing w:line="360" w:lineRule="auto"/>
        <w:ind w:right="-2"/>
        <w:jc w:val="both"/>
      </w:pPr>
    </w:p>
    <w:p w14:paraId="634932CE" w14:textId="29C77E6E" w:rsidR="007116F1" w:rsidRPr="00064EC4" w:rsidRDefault="000D2314" w:rsidP="0018082A">
      <w:pPr>
        <w:spacing w:line="360" w:lineRule="auto"/>
        <w:ind w:right="-2"/>
        <w:jc w:val="both"/>
        <w:rPr>
          <w:b/>
        </w:rPr>
      </w:pPr>
      <w:r>
        <w:rPr>
          <w:b/>
        </w:rPr>
        <w:t>3</w:t>
      </w:r>
      <w:r w:rsidR="007116F1" w:rsidRPr="00064EC4">
        <w:rPr>
          <w:b/>
        </w:rPr>
        <w:t xml:space="preserve">. </w:t>
      </w:r>
      <w:r w:rsidR="00F9207E">
        <w:rPr>
          <w:b/>
        </w:rPr>
        <w:t>Summary</w:t>
      </w:r>
    </w:p>
    <w:p w14:paraId="0A2F0585" w14:textId="77777777" w:rsidR="007116F1" w:rsidRDefault="007116F1" w:rsidP="0018082A">
      <w:pPr>
        <w:spacing w:line="360" w:lineRule="auto"/>
        <w:ind w:right="-2"/>
        <w:jc w:val="both"/>
      </w:pPr>
    </w:p>
    <w:p w14:paraId="767CA9D6" w14:textId="42FEF3B3" w:rsidR="00317D5C" w:rsidRPr="00064EC4" w:rsidRDefault="00F9207E" w:rsidP="00F9207E">
      <w:pPr>
        <w:spacing w:line="360" w:lineRule="auto"/>
        <w:ind w:right="-2"/>
        <w:jc w:val="both"/>
      </w:pPr>
      <w:r>
        <w:rPr>
          <w:lang w:val="en"/>
        </w:rPr>
        <w:t xml:space="preserve">During a transition period which will last until December </w:t>
      </w:r>
      <w:r w:rsidR="00F214FC">
        <w:rPr>
          <w:lang w:val="en"/>
        </w:rPr>
        <w:t>31</w:t>
      </w:r>
      <w:r w:rsidR="00F214FC" w:rsidRPr="00F214FC">
        <w:rPr>
          <w:vertAlign w:val="superscript"/>
          <w:lang w:val="en"/>
        </w:rPr>
        <w:t>st</w:t>
      </w:r>
      <w:r w:rsidR="00F214FC">
        <w:rPr>
          <w:lang w:val="en"/>
        </w:rPr>
        <w:t xml:space="preserve">, </w:t>
      </w:r>
      <w:r>
        <w:rPr>
          <w:lang w:val="en"/>
        </w:rPr>
        <w:t>2020</w:t>
      </w:r>
      <w:r w:rsidR="00F214FC">
        <w:rPr>
          <w:lang w:val="en"/>
        </w:rPr>
        <w:t>, State aid regulation will remain the same</w:t>
      </w:r>
      <w:r>
        <w:rPr>
          <w:lang w:val="en"/>
        </w:rPr>
        <w:t xml:space="preserve"> in the event of the conclusion of an exit agreement on the basis of the </w:t>
      </w:r>
      <w:r w:rsidR="00F214FC">
        <w:rPr>
          <w:lang w:val="en"/>
        </w:rPr>
        <w:t>draft</w:t>
      </w:r>
      <w:r>
        <w:rPr>
          <w:lang w:val="en"/>
        </w:rPr>
        <w:t xml:space="preserve"> cu</w:t>
      </w:r>
      <w:r>
        <w:rPr>
          <w:lang w:val="en"/>
        </w:rPr>
        <w:t>r</w:t>
      </w:r>
      <w:r>
        <w:rPr>
          <w:lang w:val="en"/>
        </w:rPr>
        <w:t xml:space="preserve">rently under discussion. Even after </w:t>
      </w:r>
      <w:r w:rsidR="00F214FC">
        <w:rPr>
          <w:lang w:val="en"/>
        </w:rPr>
        <w:t>that</w:t>
      </w:r>
      <w:r>
        <w:rPr>
          <w:lang w:val="en"/>
        </w:rPr>
        <w:t>, Northern Ireland will continue to be governed in principle by E</w:t>
      </w:r>
      <w:r w:rsidR="00F214FC">
        <w:rPr>
          <w:lang w:val="en"/>
        </w:rPr>
        <w:t>U</w:t>
      </w:r>
      <w:r>
        <w:rPr>
          <w:lang w:val="en"/>
        </w:rPr>
        <w:t xml:space="preserve"> </w:t>
      </w:r>
      <w:r w:rsidR="00F214FC">
        <w:rPr>
          <w:lang w:val="en"/>
        </w:rPr>
        <w:t>S</w:t>
      </w:r>
      <w:r>
        <w:rPr>
          <w:lang w:val="en"/>
        </w:rPr>
        <w:t xml:space="preserve">tate aid law. For the rest of the United Kingdom, a common </w:t>
      </w:r>
      <w:r w:rsidR="00F214FC">
        <w:rPr>
          <w:lang w:val="en"/>
        </w:rPr>
        <w:t>rulebook</w:t>
      </w:r>
      <w:r>
        <w:rPr>
          <w:lang w:val="en"/>
        </w:rPr>
        <w:t xml:space="preserve"> b</w:t>
      </w:r>
      <w:r>
        <w:rPr>
          <w:lang w:val="en"/>
        </w:rPr>
        <w:t>e</w:t>
      </w:r>
      <w:r>
        <w:rPr>
          <w:lang w:val="en"/>
        </w:rPr>
        <w:t xml:space="preserve">tween the EU and the United Kingdom is expected to be developed on the basis of </w:t>
      </w:r>
      <w:r w:rsidR="00F214FC">
        <w:rPr>
          <w:lang w:val="en"/>
        </w:rPr>
        <w:t xml:space="preserve">European </w:t>
      </w:r>
      <w:r>
        <w:rPr>
          <w:lang w:val="en"/>
        </w:rPr>
        <w:t>Union law. The European Commission and the Court of Justice</w:t>
      </w:r>
      <w:r w:rsidR="00F214FC">
        <w:rPr>
          <w:lang w:val="en"/>
        </w:rPr>
        <w:t xml:space="preserve"> of the European Union</w:t>
      </w:r>
      <w:r>
        <w:rPr>
          <w:lang w:val="en"/>
        </w:rPr>
        <w:t xml:space="preserve"> </w:t>
      </w:r>
      <w:r w:rsidR="00F214FC">
        <w:rPr>
          <w:lang w:val="en"/>
        </w:rPr>
        <w:t xml:space="preserve">remain exclusively competent for </w:t>
      </w:r>
      <w:r>
        <w:rPr>
          <w:lang w:val="en"/>
        </w:rPr>
        <w:t>all proc</w:t>
      </w:r>
      <w:r w:rsidR="00F214FC">
        <w:rPr>
          <w:lang w:val="en"/>
        </w:rPr>
        <w:t>edures</w:t>
      </w:r>
      <w:r>
        <w:rPr>
          <w:lang w:val="en"/>
        </w:rPr>
        <w:t xml:space="preserve"> </w:t>
      </w:r>
      <w:r w:rsidR="00F214FC">
        <w:rPr>
          <w:lang w:val="en"/>
        </w:rPr>
        <w:t xml:space="preserve">that have been </w:t>
      </w:r>
      <w:r>
        <w:rPr>
          <w:lang w:val="en"/>
        </w:rPr>
        <w:t>in</w:t>
      </w:r>
      <w:r w:rsidR="00F214FC">
        <w:rPr>
          <w:lang w:val="en"/>
        </w:rPr>
        <w:t>stitu</w:t>
      </w:r>
      <w:r>
        <w:rPr>
          <w:lang w:val="en"/>
        </w:rPr>
        <w:t>ted before the end of the trans</w:t>
      </w:r>
      <w:r>
        <w:rPr>
          <w:lang w:val="en"/>
        </w:rPr>
        <w:t>i</w:t>
      </w:r>
      <w:r>
        <w:rPr>
          <w:lang w:val="en"/>
        </w:rPr>
        <w:t>tion per</w:t>
      </w:r>
      <w:r>
        <w:rPr>
          <w:lang w:val="en"/>
        </w:rPr>
        <w:t>i</w:t>
      </w:r>
      <w:r>
        <w:rPr>
          <w:lang w:val="en"/>
        </w:rPr>
        <w:t>od</w:t>
      </w:r>
      <w:r w:rsidR="00F214FC">
        <w:rPr>
          <w:lang w:val="en"/>
        </w:rPr>
        <w:t>,</w:t>
      </w:r>
      <w:r>
        <w:rPr>
          <w:lang w:val="en"/>
        </w:rPr>
        <w:t xml:space="preserve"> or </w:t>
      </w:r>
      <w:r w:rsidR="00F214FC">
        <w:rPr>
          <w:lang w:val="en"/>
        </w:rPr>
        <w:t xml:space="preserve">the subject matter of which are formed by facts that </w:t>
      </w:r>
      <w:r w:rsidR="00F214FC">
        <w:rPr>
          <w:lang w:val="en"/>
        </w:rPr>
        <w:t>occurred before</w:t>
      </w:r>
      <w:r w:rsidR="00F214FC">
        <w:rPr>
          <w:lang w:val="en"/>
        </w:rPr>
        <w:t xml:space="preserve"> </w:t>
      </w:r>
      <w:r>
        <w:rPr>
          <w:lang w:val="en"/>
        </w:rPr>
        <w:t xml:space="preserve">the end of the transition period. </w:t>
      </w:r>
      <w:r w:rsidR="00F214FC">
        <w:rPr>
          <w:lang w:val="en"/>
        </w:rPr>
        <w:t>The o</w:t>
      </w:r>
      <w:r>
        <w:rPr>
          <w:lang w:val="en"/>
        </w:rPr>
        <w:t>ther proc</w:t>
      </w:r>
      <w:r>
        <w:rPr>
          <w:lang w:val="en"/>
        </w:rPr>
        <w:t>e</w:t>
      </w:r>
      <w:r>
        <w:rPr>
          <w:lang w:val="en"/>
        </w:rPr>
        <w:t xml:space="preserve">dures will be handled by the CMA and the UK courts. </w:t>
      </w:r>
      <w:r w:rsidR="00F214FC">
        <w:rPr>
          <w:lang w:val="en"/>
        </w:rPr>
        <w:t>P</w:t>
      </w:r>
      <w:r>
        <w:rPr>
          <w:lang w:val="en"/>
        </w:rPr>
        <w:t xml:space="preserve">rivate enforcement in the UK will be </w:t>
      </w:r>
      <w:proofErr w:type="gramStart"/>
      <w:r>
        <w:rPr>
          <w:lang w:val="en"/>
        </w:rPr>
        <w:t>possible</w:t>
      </w:r>
      <w:r w:rsidR="00F214FC">
        <w:rPr>
          <w:lang w:val="en"/>
        </w:rPr>
        <w:t>,</w:t>
      </w:r>
      <w:proofErr w:type="gramEnd"/>
      <w:r w:rsidR="0004583B">
        <w:rPr>
          <w:lang w:val="en"/>
        </w:rPr>
        <w:t xml:space="preserve"> at least</w:t>
      </w:r>
      <w:r w:rsidR="00F214FC">
        <w:rPr>
          <w:lang w:val="en"/>
        </w:rPr>
        <w:t xml:space="preserve"> as far</w:t>
      </w:r>
      <w:r w:rsidR="0004583B">
        <w:rPr>
          <w:lang w:val="en"/>
        </w:rPr>
        <w:t xml:space="preserve"> as</w:t>
      </w:r>
      <w:r w:rsidR="00F214FC">
        <w:rPr>
          <w:lang w:val="en"/>
        </w:rPr>
        <w:t xml:space="preserve"> breaches of the State aid rules applicable until the end of the transition period</w:t>
      </w:r>
      <w:r w:rsidR="0004583B">
        <w:rPr>
          <w:lang w:val="en"/>
        </w:rPr>
        <w:t xml:space="preserve"> </w:t>
      </w:r>
      <w:r w:rsidR="00F214FC">
        <w:rPr>
          <w:lang w:val="en"/>
        </w:rPr>
        <w:t>are concerned</w:t>
      </w:r>
      <w:r w:rsidR="0004583B">
        <w:rPr>
          <w:lang w:val="en"/>
        </w:rPr>
        <w:t xml:space="preserve">. As far as the State aid legislation that shall be in force in the United Kingdom after that is concerned, </w:t>
      </w:r>
      <w:r>
        <w:rPr>
          <w:lang w:val="en"/>
        </w:rPr>
        <w:t>the common rule</w:t>
      </w:r>
      <w:r w:rsidR="0004583B">
        <w:rPr>
          <w:lang w:val="en"/>
        </w:rPr>
        <w:t>book</w:t>
      </w:r>
      <w:r>
        <w:rPr>
          <w:lang w:val="en"/>
        </w:rPr>
        <w:t xml:space="preserve"> announced by the British government ha</w:t>
      </w:r>
      <w:r w:rsidR="0004583B">
        <w:rPr>
          <w:lang w:val="en"/>
        </w:rPr>
        <w:t>s</w:t>
      </w:r>
      <w:r>
        <w:rPr>
          <w:lang w:val="en"/>
        </w:rPr>
        <w:t xml:space="preserve"> to be awaited. However, with regard to Northern Ireland, where EU </w:t>
      </w:r>
      <w:r w:rsidR="0004583B">
        <w:rPr>
          <w:lang w:val="en"/>
        </w:rPr>
        <w:t>S</w:t>
      </w:r>
      <w:r>
        <w:rPr>
          <w:lang w:val="en"/>
        </w:rPr>
        <w:t xml:space="preserve">tate aid law will continue to apply, the possibility of private enforcement </w:t>
      </w:r>
      <w:r w:rsidR="0004583B">
        <w:rPr>
          <w:lang w:val="en"/>
        </w:rPr>
        <w:t>will</w:t>
      </w:r>
      <w:r>
        <w:rPr>
          <w:lang w:val="en"/>
        </w:rPr>
        <w:t xml:space="preserve"> continue</w:t>
      </w:r>
      <w:r w:rsidR="0004583B">
        <w:rPr>
          <w:lang w:val="en"/>
        </w:rPr>
        <w:t xml:space="preserve"> in the previous extent</w:t>
      </w:r>
      <w:r>
        <w:rPr>
          <w:lang w:val="en"/>
        </w:rPr>
        <w:t>. Private law enforcement</w:t>
      </w:r>
      <w:r w:rsidR="0004583B">
        <w:rPr>
          <w:lang w:val="en"/>
        </w:rPr>
        <w:t xml:space="preserve"> before national Member State courts</w:t>
      </w:r>
      <w:r>
        <w:rPr>
          <w:lang w:val="en"/>
        </w:rPr>
        <w:t xml:space="preserve"> </w:t>
      </w:r>
      <w:r w:rsidR="0004583B">
        <w:rPr>
          <w:lang w:val="en"/>
        </w:rPr>
        <w:t xml:space="preserve">with regard of violations </w:t>
      </w:r>
      <w:proofErr w:type="spellStart"/>
      <w:r w:rsidR="0004583B">
        <w:rPr>
          <w:lang w:val="en"/>
        </w:rPr>
        <w:t>of</w:t>
      </w:r>
      <w:proofErr w:type="spellEnd"/>
      <w:r w:rsidR="0004583B">
        <w:rPr>
          <w:lang w:val="en"/>
        </w:rPr>
        <w:t xml:space="preserve"> State aid rules by British aid </w:t>
      </w:r>
      <w:proofErr w:type="gramStart"/>
      <w:r w:rsidR="0004583B">
        <w:rPr>
          <w:lang w:val="en"/>
        </w:rPr>
        <w:t>grantors,</w:t>
      </w:r>
      <w:proofErr w:type="gramEnd"/>
      <w:r w:rsidR="0004583B">
        <w:rPr>
          <w:lang w:val="en"/>
        </w:rPr>
        <w:t xml:space="preserve"> </w:t>
      </w:r>
      <w:r>
        <w:rPr>
          <w:lang w:val="en"/>
        </w:rPr>
        <w:t xml:space="preserve">will only be possible </w:t>
      </w:r>
      <w:r w:rsidR="0004583B">
        <w:rPr>
          <w:lang w:val="en"/>
        </w:rPr>
        <w:t>where</w:t>
      </w:r>
      <w:bookmarkStart w:id="0" w:name="_GoBack"/>
      <w:bookmarkEnd w:id="0"/>
      <w:r>
        <w:rPr>
          <w:lang w:val="en"/>
        </w:rPr>
        <w:t xml:space="preserve"> the aid has been granted under pr</w:t>
      </w:r>
      <w:r>
        <w:rPr>
          <w:lang w:val="en"/>
        </w:rPr>
        <w:t>i</w:t>
      </w:r>
      <w:r>
        <w:rPr>
          <w:lang w:val="en"/>
        </w:rPr>
        <w:t>vate law.</w:t>
      </w:r>
    </w:p>
    <w:sectPr w:rsidR="00317D5C" w:rsidRPr="00064EC4" w:rsidSect="009005FD">
      <w:footerReference w:type="even"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E6243" w14:textId="77777777" w:rsidR="00D13078" w:rsidRDefault="00D13078" w:rsidP="00E34230">
      <w:r>
        <w:separator/>
      </w:r>
    </w:p>
  </w:endnote>
  <w:endnote w:type="continuationSeparator" w:id="0">
    <w:p w14:paraId="4A0F0416" w14:textId="77777777" w:rsidR="00D13078" w:rsidRDefault="00D13078" w:rsidP="00E34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20BB6" w14:textId="77777777" w:rsidR="00D13078" w:rsidRDefault="00D13078" w:rsidP="003E1F8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D88D436" w14:textId="77777777" w:rsidR="00D13078" w:rsidRDefault="00D1307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27B1C" w14:textId="77777777" w:rsidR="00D13078" w:rsidRPr="00C96BA9" w:rsidRDefault="00D13078" w:rsidP="003E1F8B">
    <w:pPr>
      <w:pStyle w:val="Fuzeile"/>
      <w:framePr w:wrap="around" w:vAnchor="text" w:hAnchor="margin" w:xAlign="center" w:y="1"/>
      <w:rPr>
        <w:rStyle w:val="Seitenzahl"/>
        <w:rFonts w:ascii="Times New Roman" w:hAnsi="Times New Roman" w:cs="Times New Roman"/>
      </w:rPr>
    </w:pPr>
    <w:r w:rsidRPr="00C96BA9">
      <w:rPr>
        <w:rStyle w:val="Seitenzahl"/>
        <w:rFonts w:ascii="Times New Roman" w:hAnsi="Times New Roman" w:cs="Times New Roman"/>
      </w:rPr>
      <w:fldChar w:fldCharType="begin"/>
    </w:r>
    <w:r w:rsidRPr="00C96BA9">
      <w:rPr>
        <w:rStyle w:val="Seitenzahl"/>
        <w:rFonts w:ascii="Times New Roman" w:hAnsi="Times New Roman" w:cs="Times New Roman"/>
      </w:rPr>
      <w:instrText xml:space="preserve">PAGE  </w:instrText>
    </w:r>
    <w:r w:rsidRPr="00C96BA9">
      <w:rPr>
        <w:rStyle w:val="Seitenzahl"/>
        <w:rFonts w:ascii="Times New Roman" w:hAnsi="Times New Roman" w:cs="Times New Roman"/>
      </w:rPr>
      <w:fldChar w:fldCharType="separate"/>
    </w:r>
    <w:r w:rsidR="0004583B">
      <w:rPr>
        <w:rStyle w:val="Seitenzahl"/>
        <w:rFonts w:ascii="Times New Roman" w:hAnsi="Times New Roman" w:cs="Times New Roman"/>
        <w:noProof/>
      </w:rPr>
      <w:t>15</w:t>
    </w:r>
    <w:r w:rsidRPr="00C96BA9">
      <w:rPr>
        <w:rStyle w:val="Seitenzahl"/>
        <w:rFonts w:ascii="Times New Roman" w:hAnsi="Times New Roman" w:cs="Times New Roman"/>
      </w:rPr>
      <w:fldChar w:fldCharType="end"/>
    </w:r>
  </w:p>
  <w:p w14:paraId="33D18044" w14:textId="77777777" w:rsidR="00D13078" w:rsidRDefault="00D1307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69347" w14:textId="77777777" w:rsidR="00D13078" w:rsidRDefault="00D13078" w:rsidP="00E34230">
      <w:r>
        <w:separator/>
      </w:r>
    </w:p>
  </w:footnote>
  <w:footnote w:type="continuationSeparator" w:id="0">
    <w:p w14:paraId="479F2197" w14:textId="77777777" w:rsidR="00D13078" w:rsidRDefault="00D13078" w:rsidP="00E34230">
      <w:r>
        <w:continuationSeparator/>
      </w:r>
    </w:p>
  </w:footnote>
  <w:footnote w:id="1">
    <w:p w14:paraId="4655A4E9" w14:textId="6E9C282D" w:rsidR="00D13078" w:rsidRPr="00B001C9" w:rsidRDefault="00D13078" w:rsidP="00190DD3">
      <w:pPr>
        <w:pStyle w:val="Funotentext"/>
        <w:suppressAutoHyphens/>
        <w:jc w:val="both"/>
        <w:rPr>
          <w:rFonts w:ascii="Times New Roman" w:hAnsi="Times New Roman" w:cs="Times New Roman"/>
          <w:sz w:val="20"/>
          <w:szCs w:val="20"/>
          <w:lang w:val="en-US"/>
        </w:rPr>
      </w:pPr>
      <w:r w:rsidRPr="00B001C9">
        <w:rPr>
          <w:rStyle w:val="Funotenzeichen"/>
          <w:rFonts w:ascii="Times New Roman" w:hAnsi="Times New Roman" w:cs="Times New Roman"/>
          <w:sz w:val="20"/>
          <w:szCs w:val="20"/>
        </w:rPr>
        <w:footnoteRef/>
      </w:r>
      <w:r w:rsidRPr="00B001C9">
        <w:rPr>
          <w:rFonts w:ascii="Times New Roman" w:hAnsi="Times New Roman" w:cs="Times New Roman"/>
          <w:sz w:val="20"/>
          <w:szCs w:val="20"/>
          <w:lang w:val="en-US"/>
        </w:rPr>
        <w:t xml:space="preserve"> Draft Agreement on the withdrawal of the United Kingdom of Great Britain and Northern Ireland from the European Union and the European Atomic Energy Community, </w:t>
      </w:r>
      <w:r>
        <w:rPr>
          <w:rFonts w:ascii="Times New Roman" w:hAnsi="Times New Roman" w:cs="Times New Roman"/>
          <w:sz w:val="20"/>
          <w:szCs w:val="20"/>
          <w:lang w:val="en-US"/>
        </w:rPr>
        <w:t>published with status as of March 19, 2018, at</w:t>
      </w:r>
      <w:r w:rsidRPr="00B001C9">
        <w:rPr>
          <w:rFonts w:ascii="Times New Roman" w:hAnsi="Times New Roman" w:cs="Times New Roman"/>
          <w:sz w:val="20"/>
          <w:szCs w:val="20"/>
          <w:lang w:val="en-US"/>
        </w:rPr>
        <w:t xml:space="preserve"> &lt;https://ec.europa.eu/commission/publications/draft-withdrawal-agreement-withdrawal-united-kingdom-great-britain-and-northern-ireland-european-union-and-european-atomic-energy-community_en&gt; (</w:t>
      </w:r>
      <w:r>
        <w:rPr>
          <w:rFonts w:ascii="Times New Roman" w:hAnsi="Times New Roman" w:cs="Times New Roman"/>
          <w:sz w:val="20"/>
          <w:szCs w:val="20"/>
          <w:lang w:val="en-US"/>
        </w:rPr>
        <w:t xml:space="preserve">retrieved on 11/4/ </w:t>
      </w:r>
      <w:r w:rsidRPr="00B001C9">
        <w:rPr>
          <w:rFonts w:ascii="Times New Roman" w:hAnsi="Times New Roman" w:cs="Times New Roman"/>
          <w:sz w:val="20"/>
          <w:szCs w:val="20"/>
          <w:lang w:val="en-US"/>
        </w:rPr>
        <w:t>2018).</w:t>
      </w:r>
    </w:p>
  </w:footnote>
  <w:footnote w:id="2">
    <w:p w14:paraId="25B9CFCE" w14:textId="77BE3A8F" w:rsidR="00D13078" w:rsidRPr="00B001C9" w:rsidRDefault="00D13078" w:rsidP="00190DD3">
      <w:pPr>
        <w:pStyle w:val="Funotentext"/>
        <w:jc w:val="both"/>
        <w:rPr>
          <w:rFonts w:ascii="Times New Roman" w:hAnsi="Times New Roman" w:cs="Times New Roman"/>
          <w:sz w:val="20"/>
          <w:szCs w:val="20"/>
        </w:rPr>
      </w:pPr>
      <w:r w:rsidRPr="00B001C9">
        <w:rPr>
          <w:rStyle w:val="Funotenzeichen"/>
          <w:rFonts w:ascii="Times New Roman" w:hAnsi="Times New Roman" w:cs="Times New Roman"/>
          <w:sz w:val="20"/>
          <w:szCs w:val="20"/>
        </w:rPr>
        <w:footnoteRef/>
      </w:r>
      <w:r w:rsidRPr="00B001C9">
        <w:rPr>
          <w:rFonts w:ascii="Times New Roman" w:hAnsi="Times New Roman" w:cs="Times New Roman"/>
          <w:sz w:val="20"/>
          <w:szCs w:val="20"/>
        </w:rPr>
        <w:t xml:space="preserve"> </w:t>
      </w:r>
      <w:proofErr w:type="spellStart"/>
      <w:r>
        <w:rPr>
          <w:rFonts w:ascii="Times New Roman" w:hAnsi="Times New Roman" w:cs="Times New Roman"/>
          <w:sz w:val="20"/>
          <w:szCs w:val="20"/>
        </w:rPr>
        <w:t>Published</w:t>
      </w:r>
      <w:proofErr w:type="spellEnd"/>
      <w:r>
        <w:rPr>
          <w:rFonts w:ascii="Times New Roman" w:hAnsi="Times New Roman" w:cs="Times New Roman"/>
          <w:sz w:val="20"/>
          <w:szCs w:val="20"/>
        </w:rPr>
        <w:t xml:space="preserve"> at </w:t>
      </w:r>
      <w:r w:rsidRPr="00B001C9">
        <w:rPr>
          <w:rFonts w:ascii="Times New Roman" w:hAnsi="Times New Roman" w:cs="Times New Roman"/>
          <w:sz w:val="20"/>
          <w:szCs w:val="20"/>
        </w:rPr>
        <w:t>&lt;https://www.gov.uk/government/publications/the-future-relationship-between-the-united-kingdom-and-the-european-union&gt; (</w:t>
      </w:r>
      <w:proofErr w:type="spellStart"/>
      <w:r>
        <w:rPr>
          <w:rFonts w:ascii="Times New Roman" w:hAnsi="Times New Roman" w:cs="Times New Roman"/>
          <w:sz w:val="20"/>
          <w:szCs w:val="20"/>
        </w:rPr>
        <w:t>retrieved</w:t>
      </w:r>
      <w:proofErr w:type="spellEnd"/>
      <w:r>
        <w:rPr>
          <w:rFonts w:ascii="Times New Roman" w:hAnsi="Times New Roman" w:cs="Times New Roman"/>
          <w:sz w:val="20"/>
          <w:szCs w:val="20"/>
        </w:rPr>
        <w:t xml:space="preserve"> on 11/4/</w:t>
      </w:r>
      <w:r w:rsidRPr="00B001C9">
        <w:rPr>
          <w:rFonts w:ascii="Times New Roman" w:hAnsi="Times New Roman" w:cs="Times New Roman"/>
          <w:sz w:val="20"/>
          <w:szCs w:val="20"/>
        </w:rPr>
        <w:t>2018).</w:t>
      </w:r>
    </w:p>
  </w:footnote>
  <w:footnote w:id="3">
    <w:p w14:paraId="577583D6" w14:textId="57D975A9" w:rsidR="00D13078" w:rsidRPr="00B001C9" w:rsidRDefault="00D13078" w:rsidP="00B35B92">
      <w:pPr>
        <w:pStyle w:val="Funotentext"/>
        <w:jc w:val="both"/>
        <w:rPr>
          <w:rFonts w:ascii="Times New Roman" w:hAnsi="Times New Roman" w:cs="Times New Roman"/>
          <w:sz w:val="20"/>
          <w:szCs w:val="20"/>
          <w:lang w:val="en-US"/>
        </w:rPr>
      </w:pPr>
      <w:r w:rsidRPr="00B001C9">
        <w:rPr>
          <w:rStyle w:val="Funotenzeichen"/>
          <w:rFonts w:ascii="Times New Roman" w:hAnsi="Times New Roman" w:cs="Times New Roman"/>
          <w:sz w:val="20"/>
          <w:szCs w:val="20"/>
        </w:rPr>
        <w:footnoteRef/>
      </w:r>
      <w:r w:rsidRPr="00B001C9">
        <w:rPr>
          <w:rFonts w:ascii="Times New Roman" w:hAnsi="Times New Roman" w:cs="Times New Roman"/>
          <w:sz w:val="20"/>
          <w:szCs w:val="20"/>
          <w:lang w:val="en-US"/>
        </w:rPr>
        <w:t xml:space="preserve"> </w:t>
      </w:r>
      <w:r>
        <w:rPr>
          <w:rFonts w:ascii="Times New Roman" w:hAnsi="Times New Roman" w:cs="Times New Roman"/>
          <w:sz w:val="20"/>
          <w:szCs w:val="20"/>
          <w:lang w:val="en-US"/>
        </w:rPr>
        <w:t>Published at</w:t>
      </w:r>
      <w:r w:rsidRPr="00B001C9">
        <w:rPr>
          <w:rFonts w:ascii="Times New Roman" w:hAnsi="Times New Roman" w:cs="Times New Roman"/>
          <w:sz w:val="20"/>
          <w:szCs w:val="20"/>
          <w:lang w:val="en-US"/>
        </w:rPr>
        <w:t xml:space="preserve"> &lt;https://ec.europa.eu/commission/publications/joint-statement-negotiators-european-union-and-united-kingdom-government-progress-negotiations-under-article-50-teu-united-kingdoms-orderly-withdrawal-european-union_en&gt; (</w:t>
      </w:r>
      <w:r>
        <w:rPr>
          <w:rFonts w:ascii="Times New Roman" w:hAnsi="Times New Roman" w:cs="Times New Roman"/>
          <w:sz w:val="20"/>
          <w:szCs w:val="20"/>
          <w:lang w:val="en-US"/>
        </w:rPr>
        <w:t>retrieved on 11/4/</w:t>
      </w:r>
      <w:r w:rsidRPr="00B001C9">
        <w:rPr>
          <w:rFonts w:ascii="Times New Roman" w:hAnsi="Times New Roman" w:cs="Times New Roman"/>
          <w:sz w:val="20"/>
          <w:szCs w:val="20"/>
          <w:lang w:val="en-US"/>
        </w:rPr>
        <w:t>2018).</w:t>
      </w:r>
    </w:p>
  </w:footnote>
  <w:footnote w:id="4">
    <w:p w14:paraId="206F1122" w14:textId="5F05275F" w:rsidR="00D13078" w:rsidRPr="00D7333C" w:rsidRDefault="00D13078" w:rsidP="00BE11A4">
      <w:pPr>
        <w:pStyle w:val="Funotentext"/>
        <w:jc w:val="both"/>
        <w:rPr>
          <w:rFonts w:ascii="Times New Roman" w:hAnsi="Times New Roman" w:cs="Times New Roman"/>
          <w:sz w:val="20"/>
          <w:szCs w:val="20"/>
          <w:lang w:val="en-US"/>
        </w:rPr>
      </w:pPr>
      <w:r w:rsidRPr="00064EC4">
        <w:rPr>
          <w:rStyle w:val="Funotenzeichen"/>
          <w:rFonts w:ascii="Times New Roman" w:hAnsi="Times New Roman" w:cs="Times New Roman"/>
          <w:sz w:val="20"/>
          <w:szCs w:val="20"/>
        </w:rPr>
        <w:footnoteRef/>
      </w:r>
      <w:r w:rsidRPr="00064EC4">
        <w:rPr>
          <w:rFonts w:ascii="Times New Roman" w:hAnsi="Times New Roman" w:cs="Times New Roman"/>
          <w:sz w:val="20"/>
          <w:szCs w:val="20"/>
        </w:rPr>
        <w:t xml:space="preserve"> </w:t>
      </w:r>
      <w:proofErr w:type="spellStart"/>
      <w:r w:rsidRPr="00064EC4">
        <w:rPr>
          <w:rFonts w:ascii="Times New Roman" w:hAnsi="Times New Roman" w:cs="Times New Roman"/>
          <w:i/>
          <w:sz w:val="20"/>
          <w:szCs w:val="20"/>
        </w:rPr>
        <w:t>Mestmäcker</w:t>
      </w:r>
      <w:proofErr w:type="spellEnd"/>
      <w:r w:rsidRPr="00064EC4">
        <w:rPr>
          <w:rFonts w:ascii="Times New Roman" w:hAnsi="Times New Roman" w:cs="Times New Roman"/>
          <w:i/>
          <w:sz w:val="20"/>
          <w:szCs w:val="20"/>
        </w:rPr>
        <w:t>/</w:t>
      </w:r>
      <w:r w:rsidRPr="00D7333C">
        <w:rPr>
          <w:rFonts w:ascii="Times New Roman" w:hAnsi="Times New Roman" w:cs="Times New Roman"/>
          <w:i/>
          <w:sz w:val="20"/>
          <w:szCs w:val="20"/>
          <w:lang w:val="en-US"/>
        </w:rPr>
        <w:t>Schweitzer</w:t>
      </w:r>
      <w:r>
        <w:rPr>
          <w:rFonts w:ascii="Times New Roman" w:hAnsi="Times New Roman" w:cs="Times New Roman"/>
          <w:sz w:val="20"/>
          <w:szCs w:val="20"/>
          <w:lang w:val="en-US"/>
        </w:rPr>
        <w:t>,</w:t>
      </w:r>
      <w:r w:rsidRPr="00D7333C">
        <w:rPr>
          <w:rFonts w:ascii="Times New Roman" w:hAnsi="Times New Roman" w:cs="Times New Roman"/>
          <w:sz w:val="20"/>
          <w:szCs w:val="20"/>
          <w:lang w:val="en-US"/>
        </w:rPr>
        <w:t xml:space="preserve"> in </w:t>
      </w:r>
      <w:proofErr w:type="spellStart"/>
      <w:r w:rsidRPr="00D7333C">
        <w:rPr>
          <w:rFonts w:ascii="Times New Roman" w:hAnsi="Times New Roman" w:cs="Times New Roman"/>
          <w:sz w:val="20"/>
          <w:szCs w:val="20"/>
          <w:lang w:val="en-US"/>
        </w:rPr>
        <w:t>Immenga</w:t>
      </w:r>
      <w:proofErr w:type="spellEnd"/>
      <w:r w:rsidRPr="00D7333C">
        <w:rPr>
          <w:rFonts w:ascii="Times New Roman" w:hAnsi="Times New Roman" w:cs="Times New Roman"/>
          <w:sz w:val="20"/>
          <w:szCs w:val="20"/>
          <w:lang w:val="en-US"/>
        </w:rPr>
        <w:t>/</w:t>
      </w:r>
      <w:proofErr w:type="spellStart"/>
      <w:r w:rsidRPr="00D7333C">
        <w:rPr>
          <w:rFonts w:ascii="Times New Roman" w:hAnsi="Times New Roman" w:cs="Times New Roman"/>
          <w:sz w:val="20"/>
          <w:szCs w:val="20"/>
          <w:lang w:val="en-US"/>
        </w:rPr>
        <w:t>Mestmäcker</w:t>
      </w:r>
      <w:proofErr w:type="spellEnd"/>
      <w:r w:rsidRPr="00D7333C">
        <w:rPr>
          <w:rFonts w:ascii="Times New Roman" w:hAnsi="Times New Roman" w:cs="Times New Roman"/>
          <w:sz w:val="20"/>
          <w:szCs w:val="20"/>
          <w:lang w:val="en-US"/>
        </w:rPr>
        <w:t xml:space="preserve">, </w:t>
      </w:r>
      <w:proofErr w:type="spellStart"/>
      <w:r w:rsidRPr="00D7333C">
        <w:rPr>
          <w:rFonts w:ascii="Times New Roman" w:hAnsi="Times New Roman" w:cs="Times New Roman"/>
          <w:sz w:val="20"/>
          <w:szCs w:val="20"/>
          <w:lang w:val="en-US"/>
        </w:rPr>
        <w:t>Wettbewerbsrecht</w:t>
      </w:r>
      <w:proofErr w:type="spellEnd"/>
      <w:r w:rsidRPr="00D7333C">
        <w:rPr>
          <w:rFonts w:ascii="Times New Roman" w:hAnsi="Times New Roman" w:cs="Times New Roman"/>
          <w:sz w:val="20"/>
          <w:szCs w:val="20"/>
          <w:lang w:val="en-US"/>
        </w:rPr>
        <w:t xml:space="preserve"> vol. </w:t>
      </w:r>
      <w:proofErr w:type="gramStart"/>
      <w:r w:rsidRPr="00D7333C">
        <w:rPr>
          <w:rFonts w:ascii="Times New Roman" w:hAnsi="Times New Roman" w:cs="Times New Roman"/>
          <w:sz w:val="20"/>
          <w:szCs w:val="20"/>
          <w:lang w:val="en-US"/>
        </w:rPr>
        <w:t>3, 5</w:t>
      </w:r>
      <w:r w:rsidRPr="00D7333C">
        <w:rPr>
          <w:rFonts w:ascii="Times New Roman" w:hAnsi="Times New Roman" w:cs="Times New Roman"/>
          <w:sz w:val="20"/>
          <w:szCs w:val="20"/>
          <w:vertAlign w:val="superscript"/>
          <w:lang w:val="en-US"/>
        </w:rPr>
        <w:t>th</w:t>
      </w:r>
      <w:r>
        <w:rPr>
          <w:rFonts w:ascii="Times New Roman" w:hAnsi="Times New Roman" w:cs="Times New Roman"/>
          <w:sz w:val="20"/>
          <w:szCs w:val="20"/>
          <w:lang w:val="en-US"/>
        </w:rPr>
        <w:t xml:space="preserve"> </w:t>
      </w:r>
      <w:r w:rsidRPr="00D7333C">
        <w:rPr>
          <w:rFonts w:ascii="Times New Roman" w:hAnsi="Times New Roman" w:cs="Times New Roman"/>
          <w:sz w:val="20"/>
          <w:szCs w:val="20"/>
          <w:lang w:val="en-US"/>
        </w:rPr>
        <w:t xml:space="preserve">ed. 2016, Sect. I. A. no. 1; </w:t>
      </w:r>
      <w:proofErr w:type="spellStart"/>
      <w:r w:rsidRPr="00D7333C">
        <w:rPr>
          <w:rFonts w:ascii="Times New Roman" w:hAnsi="Times New Roman" w:cs="Times New Roman"/>
          <w:i/>
          <w:sz w:val="20"/>
          <w:szCs w:val="20"/>
          <w:lang w:val="en-US"/>
        </w:rPr>
        <w:t>Bartosch</w:t>
      </w:r>
      <w:proofErr w:type="spellEnd"/>
      <w:r w:rsidRPr="004A48B6">
        <w:rPr>
          <w:rFonts w:ascii="Times New Roman" w:hAnsi="Times New Roman" w:cs="Times New Roman"/>
          <w:sz w:val="20"/>
          <w:szCs w:val="20"/>
          <w:lang w:val="en-US"/>
        </w:rPr>
        <w:t>,</w:t>
      </w:r>
      <w:r w:rsidRPr="00D7333C">
        <w:rPr>
          <w:rFonts w:ascii="Times New Roman" w:hAnsi="Times New Roman" w:cs="Times New Roman"/>
          <w:sz w:val="20"/>
          <w:szCs w:val="20"/>
          <w:lang w:val="en-US"/>
        </w:rPr>
        <w:t xml:space="preserve"> EU-</w:t>
      </w:r>
      <w:proofErr w:type="spellStart"/>
      <w:r w:rsidRPr="00D7333C">
        <w:rPr>
          <w:rFonts w:ascii="Times New Roman" w:hAnsi="Times New Roman" w:cs="Times New Roman"/>
          <w:sz w:val="20"/>
          <w:szCs w:val="20"/>
          <w:lang w:val="en-US"/>
        </w:rPr>
        <w:t>Beihilfenrecht</w:t>
      </w:r>
      <w:proofErr w:type="spellEnd"/>
      <w:r w:rsidRPr="00D7333C">
        <w:rPr>
          <w:rFonts w:ascii="Times New Roman" w:hAnsi="Times New Roman" w:cs="Times New Roman"/>
          <w:sz w:val="20"/>
          <w:szCs w:val="20"/>
          <w:lang w:val="en-US"/>
        </w:rPr>
        <w:t>, 2</w:t>
      </w:r>
      <w:r w:rsidRPr="00D7333C">
        <w:rPr>
          <w:rFonts w:ascii="Times New Roman" w:hAnsi="Times New Roman" w:cs="Times New Roman"/>
          <w:sz w:val="20"/>
          <w:szCs w:val="20"/>
          <w:vertAlign w:val="superscript"/>
          <w:lang w:val="en-US"/>
        </w:rPr>
        <w:t>nd</w:t>
      </w:r>
      <w:r>
        <w:rPr>
          <w:rFonts w:ascii="Times New Roman" w:hAnsi="Times New Roman" w:cs="Times New Roman"/>
          <w:sz w:val="20"/>
          <w:szCs w:val="20"/>
          <w:lang w:val="en-US"/>
        </w:rPr>
        <w:t xml:space="preserve"> </w:t>
      </w:r>
      <w:r w:rsidRPr="00D7333C">
        <w:rPr>
          <w:rFonts w:ascii="Times New Roman" w:hAnsi="Times New Roman" w:cs="Times New Roman"/>
          <w:sz w:val="20"/>
          <w:szCs w:val="20"/>
          <w:lang w:val="en-US"/>
        </w:rPr>
        <w:t>ed. 2016, Sect. A. no. 1.</w:t>
      </w:r>
      <w:proofErr w:type="gramEnd"/>
    </w:p>
  </w:footnote>
  <w:footnote w:id="5">
    <w:p w14:paraId="47184C41" w14:textId="4B249C5B" w:rsidR="00D13078" w:rsidRPr="00D7333C" w:rsidRDefault="00D13078" w:rsidP="00BE11A4">
      <w:pPr>
        <w:pStyle w:val="Funotentext"/>
        <w:jc w:val="both"/>
        <w:rPr>
          <w:rFonts w:ascii="Times New Roman" w:hAnsi="Times New Roman" w:cs="Times New Roman"/>
          <w:sz w:val="20"/>
          <w:szCs w:val="20"/>
          <w:lang w:val="en-US"/>
        </w:rPr>
      </w:pPr>
      <w:r w:rsidRPr="00D7333C">
        <w:rPr>
          <w:rStyle w:val="Funotenzeichen"/>
          <w:rFonts w:ascii="Times New Roman" w:hAnsi="Times New Roman" w:cs="Times New Roman"/>
          <w:sz w:val="20"/>
          <w:szCs w:val="20"/>
          <w:lang w:val="en-US"/>
        </w:rPr>
        <w:footnoteRef/>
      </w:r>
      <w:r w:rsidRPr="00D7333C">
        <w:rPr>
          <w:rFonts w:ascii="Times New Roman" w:hAnsi="Times New Roman" w:cs="Times New Roman"/>
          <w:sz w:val="20"/>
          <w:szCs w:val="20"/>
          <w:lang w:val="en-US"/>
        </w:rPr>
        <w:t xml:space="preserve"> ECJ 3/22/1977 – 78/76, ECR 1977, 595 no. 8 et seq. – </w:t>
      </w:r>
      <w:proofErr w:type="spellStart"/>
      <w:r w:rsidRPr="00D7333C">
        <w:rPr>
          <w:rFonts w:ascii="Times New Roman" w:hAnsi="Times New Roman" w:cs="Times New Roman"/>
          <w:sz w:val="20"/>
          <w:szCs w:val="20"/>
          <w:lang w:val="en-US"/>
        </w:rPr>
        <w:t>Steinike</w:t>
      </w:r>
      <w:proofErr w:type="spellEnd"/>
      <w:r w:rsidRPr="00D7333C">
        <w:rPr>
          <w:rFonts w:ascii="Times New Roman" w:hAnsi="Times New Roman" w:cs="Times New Roman"/>
          <w:sz w:val="20"/>
          <w:szCs w:val="20"/>
          <w:lang w:val="en-US"/>
        </w:rPr>
        <w:t xml:space="preserve"> </w:t>
      </w:r>
      <w:r>
        <w:rPr>
          <w:rFonts w:ascii="Times New Roman" w:hAnsi="Times New Roman" w:cs="Times New Roman"/>
          <w:sz w:val="20"/>
          <w:szCs w:val="20"/>
          <w:lang w:val="en-US"/>
        </w:rPr>
        <w:t>&amp;</w:t>
      </w:r>
      <w:r w:rsidRPr="00D7333C">
        <w:rPr>
          <w:rFonts w:ascii="Times New Roman" w:hAnsi="Times New Roman" w:cs="Times New Roman"/>
          <w:sz w:val="20"/>
          <w:szCs w:val="20"/>
          <w:lang w:val="en-US"/>
        </w:rPr>
        <w:t xml:space="preserve"> </w:t>
      </w:r>
      <w:proofErr w:type="spellStart"/>
      <w:r w:rsidRPr="00D7333C">
        <w:rPr>
          <w:rFonts w:ascii="Times New Roman" w:hAnsi="Times New Roman" w:cs="Times New Roman"/>
          <w:sz w:val="20"/>
          <w:szCs w:val="20"/>
          <w:lang w:val="en-US"/>
        </w:rPr>
        <w:t>Weinlig</w:t>
      </w:r>
      <w:proofErr w:type="spellEnd"/>
      <w:r w:rsidRPr="00D7333C">
        <w:rPr>
          <w:rFonts w:ascii="Times New Roman" w:hAnsi="Times New Roman" w:cs="Times New Roman"/>
          <w:sz w:val="20"/>
          <w:szCs w:val="20"/>
          <w:lang w:val="en-US"/>
        </w:rPr>
        <w:t>;</w:t>
      </w:r>
      <w:r w:rsidRPr="00D7333C">
        <w:rPr>
          <w:rFonts w:ascii="Times New Roman" w:hAnsi="Times New Roman" w:cs="Times New Roman"/>
          <w:i/>
          <w:sz w:val="20"/>
          <w:szCs w:val="20"/>
          <w:lang w:val="en-US"/>
        </w:rPr>
        <w:t xml:space="preserve"> </w:t>
      </w:r>
      <w:r w:rsidRPr="00D7333C">
        <w:rPr>
          <w:rFonts w:ascii="Times New Roman" w:hAnsi="Times New Roman" w:cs="Times New Roman"/>
          <w:sz w:val="20"/>
          <w:szCs w:val="20"/>
          <w:lang w:val="en-US"/>
        </w:rPr>
        <w:t xml:space="preserve">14.2.1990 – 301/87, ECR 1990, I-307 no. 15 – </w:t>
      </w:r>
      <w:proofErr w:type="spellStart"/>
      <w:r w:rsidRPr="00D7333C">
        <w:rPr>
          <w:rFonts w:ascii="Times New Roman" w:hAnsi="Times New Roman" w:cs="Times New Roman"/>
          <w:sz w:val="20"/>
          <w:szCs w:val="20"/>
          <w:lang w:val="en-US"/>
        </w:rPr>
        <w:t>Boussac</w:t>
      </w:r>
      <w:proofErr w:type="spellEnd"/>
      <w:r w:rsidRPr="00D7333C">
        <w:rPr>
          <w:rFonts w:ascii="Times New Roman" w:hAnsi="Times New Roman" w:cs="Times New Roman"/>
          <w:sz w:val="20"/>
          <w:szCs w:val="20"/>
          <w:lang w:val="en-US"/>
        </w:rPr>
        <w:t xml:space="preserve">; </w:t>
      </w:r>
      <w:proofErr w:type="spellStart"/>
      <w:r w:rsidRPr="00D7333C">
        <w:rPr>
          <w:rFonts w:ascii="Times New Roman" w:hAnsi="Times New Roman" w:cs="Times New Roman"/>
          <w:i/>
          <w:sz w:val="20"/>
          <w:szCs w:val="20"/>
          <w:lang w:val="en-US"/>
        </w:rPr>
        <w:t>Mestmäcker</w:t>
      </w:r>
      <w:proofErr w:type="spellEnd"/>
      <w:r w:rsidRPr="00D7333C">
        <w:rPr>
          <w:rFonts w:ascii="Times New Roman" w:hAnsi="Times New Roman" w:cs="Times New Roman"/>
          <w:i/>
          <w:sz w:val="20"/>
          <w:szCs w:val="20"/>
          <w:lang w:val="en-US"/>
        </w:rPr>
        <w:t>/Schweitzer</w:t>
      </w:r>
      <w:r w:rsidRPr="004A48B6">
        <w:rPr>
          <w:rFonts w:ascii="Times New Roman" w:hAnsi="Times New Roman" w:cs="Times New Roman"/>
          <w:sz w:val="20"/>
          <w:szCs w:val="20"/>
          <w:lang w:val="en-US"/>
        </w:rPr>
        <w:t>,</w:t>
      </w:r>
      <w:r w:rsidRPr="00D7333C">
        <w:rPr>
          <w:rFonts w:ascii="Times New Roman" w:hAnsi="Times New Roman" w:cs="Times New Roman"/>
          <w:sz w:val="20"/>
          <w:szCs w:val="20"/>
          <w:lang w:val="en-US"/>
        </w:rPr>
        <w:t xml:space="preserve"> in </w:t>
      </w:r>
      <w:proofErr w:type="spellStart"/>
      <w:r w:rsidRPr="00D7333C">
        <w:rPr>
          <w:rFonts w:ascii="Times New Roman" w:hAnsi="Times New Roman" w:cs="Times New Roman"/>
          <w:sz w:val="20"/>
          <w:szCs w:val="20"/>
          <w:lang w:val="en-US"/>
        </w:rPr>
        <w:t>Immenga</w:t>
      </w:r>
      <w:proofErr w:type="spellEnd"/>
      <w:r w:rsidRPr="00D7333C">
        <w:rPr>
          <w:rFonts w:ascii="Times New Roman" w:hAnsi="Times New Roman" w:cs="Times New Roman"/>
          <w:sz w:val="20"/>
          <w:szCs w:val="20"/>
          <w:lang w:val="en-US"/>
        </w:rPr>
        <w:t>/</w:t>
      </w:r>
      <w:proofErr w:type="spellStart"/>
      <w:r w:rsidRPr="00D7333C">
        <w:rPr>
          <w:rFonts w:ascii="Times New Roman" w:hAnsi="Times New Roman" w:cs="Times New Roman"/>
          <w:sz w:val="20"/>
          <w:szCs w:val="20"/>
          <w:lang w:val="en-US"/>
        </w:rPr>
        <w:t>Mestmäcker</w:t>
      </w:r>
      <w:proofErr w:type="spellEnd"/>
      <w:r w:rsidRPr="00D7333C">
        <w:rPr>
          <w:rFonts w:ascii="Times New Roman" w:hAnsi="Times New Roman" w:cs="Times New Roman"/>
          <w:sz w:val="20"/>
          <w:szCs w:val="20"/>
          <w:lang w:val="en-US"/>
        </w:rPr>
        <w:t xml:space="preserve">, </w:t>
      </w:r>
      <w:proofErr w:type="spellStart"/>
      <w:r w:rsidRPr="00D7333C">
        <w:rPr>
          <w:rFonts w:ascii="Times New Roman" w:hAnsi="Times New Roman" w:cs="Times New Roman"/>
          <w:sz w:val="20"/>
          <w:szCs w:val="20"/>
          <w:lang w:val="en-US"/>
        </w:rPr>
        <w:t>Wettbewerbsrecht</w:t>
      </w:r>
      <w:proofErr w:type="spellEnd"/>
      <w:r w:rsidRPr="00D7333C">
        <w:rPr>
          <w:rFonts w:ascii="Times New Roman" w:hAnsi="Times New Roman" w:cs="Times New Roman"/>
          <w:sz w:val="20"/>
          <w:szCs w:val="20"/>
          <w:lang w:val="en-US"/>
        </w:rPr>
        <w:t xml:space="preserve"> vol. 3, 5</w:t>
      </w:r>
      <w:r w:rsidRPr="00D7333C">
        <w:rPr>
          <w:rFonts w:ascii="Times New Roman" w:hAnsi="Times New Roman" w:cs="Times New Roman"/>
          <w:sz w:val="20"/>
          <w:szCs w:val="20"/>
          <w:vertAlign w:val="superscript"/>
          <w:lang w:val="en-US"/>
        </w:rPr>
        <w:t>th</w:t>
      </w:r>
      <w:r>
        <w:rPr>
          <w:rFonts w:ascii="Times New Roman" w:hAnsi="Times New Roman" w:cs="Times New Roman"/>
          <w:sz w:val="20"/>
          <w:szCs w:val="20"/>
          <w:lang w:val="en-US"/>
        </w:rPr>
        <w:t xml:space="preserve"> </w:t>
      </w:r>
      <w:r w:rsidRPr="00D7333C">
        <w:rPr>
          <w:rFonts w:ascii="Times New Roman" w:hAnsi="Times New Roman" w:cs="Times New Roman"/>
          <w:sz w:val="20"/>
          <w:szCs w:val="20"/>
          <w:lang w:val="en-US"/>
        </w:rPr>
        <w:t xml:space="preserve">ed. 2016, Sect. I. A. no. 14; </w:t>
      </w:r>
      <w:proofErr w:type="spellStart"/>
      <w:r w:rsidRPr="00D7333C">
        <w:rPr>
          <w:rFonts w:ascii="Times New Roman" w:hAnsi="Times New Roman" w:cs="Times New Roman"/>
          <w:i/>
          <w:sz w:val="20"/>
          <w:szCs w:val="20"/>
          <w:lang w:val="en-US"/>
        </w:rPr>
        <w:t>Bartosch</w:t>
      </w:r>
      <w:proofErr w:type="spellEnd"/>
      <w:r w:rsidRPr="004A48B6">
        <w:rPr>
          <w:rFonts w:ascii="Times New Roman" w:hAnsi="Times New Roman" w:cs="Times New Roman"/>
          <w:sz w:val="20"/>
          <w:szCs w:val="20"/>
          <w:lang w:val="en-US"/>
        </w:rPr>
        <w:t>,</w:t>
      </w:r>
      <w:r w:rsidRPr="00D7333C">
        <w:rPr>
          <w:rFonts w:ascii="Times New Roman" w:hAnsi="Times New Roman" w:cs="Times New Roman"/>
          <w:sz w:val="20"/>
          <w:szCs w:val="20"/>
          <w:lang w:val="en-US"/>
        </w:rPr>
        <w:t xml:space="preserve"> EU-</w:t>
      </w:r>
      <w:proofErr w:type="spellStart"/>
      <w:r w:rsidRPr="00D7333C">
        <w:rPr>
          <w:rFonts w:ascii="Times New Roman" w:hAnsi="Times New Roman" w:cs="Times New Roman"/>
          <w:sz w:val="20"/>
          <w:szCs w:val="20"/>
          <w:lang w:val="en-US"/>
        </w:rPr>
        <w:t>Beihilfenrecht</w:t>
      </w:r>
      <w:proofErr w:type="spellEnd"/>
      <w:r w:rsidRPr="00D7333C">
        <w:rPr>
          <w:rFonts w:ascii="Times New Roman" w:hAnsi="Times New Roman" w:cs="Times New Roman"/>
          <w:sz w:val="20"/>
          <w:szCs w:val="20"/>
          <w:lang w:val="en-US"/>
        </w:rPr>
        <w:t>, 2</w:t>
      </w:r>
      <w:r w:rsidRPr="00D7333C">
        <w:rPr>
          <w:rFonts w:ascii="Times New Roman" w:hAnsi="Times New Roman" w:cs="Times New Roman"/>
          <w:sz w:val="20"/>
          <w:szCs w:val="20"/>
          <w:vertAlign w:val="superscript"/>
          <w:lang w:val="en-US"/>
        </w:rPr>
        <w:t>nd</w:t>
      </w:r>
      <w:r>
        <w:rPr>
          <w:rFonts w:ascii="Times New Roman" w:hAnsi="Times New Roman" w:cs="Times New Roman"/>
          <w:sz w:val="20"/>
          <w:szCs w:val="20"/>
          <w:lang w:val="en-US"/>
        </w:rPr>
        <w:t xml:space="preserve"> </w:t>
      </w:r>
      <w:r w:rsidRPr="00D7333C">
        <w:rPr>
          <w:rFonts w:ascii="Times New Roman" w:hAnsi="Times New Roman" w:cs="Times New Roman"/>
          <w:sz w:val="20"/>
          <w:szCs w:val="20"/>
          <w:lang w:val="en-US"/>
        </w:rPr>
        <w:t xml:space="preserve">ed. 2016, Sect. A. no. 2; </w:t>
      </w:r>
      <w:proofErr w:type="spellStart"/>
      <w:r w:rsidRPr="00D7333C">
        <w:rPr>
          <w:rFonts w:ascii="Times New Roman" w:hAnsi="Times New Roman" w:cs="Times New Roman"/>
          <w:i/>
          <w:sz w:val="20"/>
          <w:szCs w:val="20"/>
          <w:lang w:val="en-US"/>
        </w:rPr>
        <w:t>Bungenberg</w:t>
      </w:r>
      <w:proofErr w:type="spellEnd"/>
      <w:r w:rsidRPr="004A48B6">
        <w:rPr>
          <w:rFonts w:ascii="Times New Roman" w:hAnsi="Times New Roman" w:cs="Times New Roman"/>
          <w:sz w:val="20"/>
          <w:szCs w:val="20"/>
          <w:lang w:val="en-US"/>
        </w:rPr>
        <w:t>,</w:t>
      </w:r>
      <w:r w:rsidRPr="00D7333C">
        <w:rPr>
          <w:rFonts w:ascii="Times New Roman" w:hAnsi="Times New Roman" w:cs="Times New Roman"/>
          <w:sz w:val="20"/>
          <w:szCs w:val="20"/>
          <w:lang w:val="en-US"/>
        </w:rPr>
        <w:t xml:space="preserve"> in </w:t>
      </w:r>
      <w:proofErr w:type="spellStart"/>
      <w:r w:rsidRPr="00D7333C">
        <w:rPr>
          <w:rFonts w:ascii="Times New Roman" w:hAnsi="Times New Roman" w:cs="Times New Roman"/>
          <w:sz w:val="20"/>
          <w:szCs w:val="20"/>
          <w:lang w:val="en-US"/>
        </w:rPr>
        <w:t>Bir</w:t>
      </w:r>
      <w:r w:rsidRPr="00D7333C">
        <w:rPr>
          <w:rFonts w:ascii="Times New Roman" w:hAnsi="Times New Roman" w:cs="Times New Roman"/>
          <w:sz w:val="20"/>
          <w:szCs w:val="20"/>
          <w:lang w:val="en-US"/>
        </w:rPr>
        <w:t>n</w:t>
      </w:r>
      <w:r w:rsidRPr="00D7333C">
        <w:rPr>
          <w:rFonts w:ascii="Times New Roman" w:hAnsi="Times New Roman" w:cs="Times New Roman"/>
          <w:sz w:val="20"/>
          <w:szCs w:val="20"/>
          <w:lang w:val="en-US"/>
        </w:rPr>
        <w:t>stiel</w:t>
      </w:r>
      <w:proofErr w:type="spellEnd"/>
      <w:r w:rsidRPr="00D7333C">
        <w:rPr>
          <w:rFonts w:ascii="Times New Roman" w:hAnsi="Times New Roman" w:cs="Times New Roman"/>
          <w:sz w:val="20"/>
          <w:szCs w:val="20"/>
          <w:lang w:val="en-US"/>
        </w:rPr>
        <w:t>/</w:t>
      </w:r>
      <w:proofErr w:type="spellStart"/>
      <w:r w:rsidRPr="00D7333C">
        <w:rPr>
          <w:rFonts w:ascii="Times New Roman" w:hAnsi="Times New Roman" w:cs="Times New Roman"/>
          <w:sz w:val="20"/>
          <w:szCs w:val="20"/>
          <w:lang w:val="en-US"/>
        </w:rPr>
        <w:t>Bungenberg</w:t>
      </w:r>
      <w:proofErr w:type="spellEnd"/>
      <w:r w:rsidRPr="00D7333C">
        <w:rPr>
          <w:rFonts w:ascii="Times New Roman" w:hAnsi="Times New Roman" w:cs="Times New Roman"/>
          <w:sz w:val="20"/>
          <w:szCs w:val="20"/>
          <w:lang w:val="en-US"/>
        </w:rPr>
        <w:t xml:space="preserve">/Heinrich, </w:t>
      </w:r>
      <w:proofErr w:type="spellStart"/>
      <w:r w:rsidRPr="00D7333C">
        <w:rPr>
          <w:rFonts w:ascii="Times New Roman" w:hAnsi="Times New Roman" w:cs="Times New Roman"/>
          <w:sz w:val="20"/>
          <w:szCs w:val="20"/>
          <w:lang w:val="en-US"/>
        </w:rPr>
        <w:t>Europäisches</w:t>
      </w:r>
      <w:proofErr w:type="spellEnd"/>
      <w:r w:rsidRPr="00D7333C">
        <w:rPr>
          <w:rFonts w:ascii="Times New Roman" w:hAnsi="Times New Roman" w:cs="Times New Roman"/>
          <w:sz w:val="20"/>
          <w:szCs w:val="20"/>
          <w:lang w:val="en-US"/>
        </w:rPr>
        <w:t xml:space="preserve"> </w:t>
      </w:r>
      <w:proofErr w:type="spellStart"/>
      <w:r w:rsidRPr="00D7333C">
        <w:rPr>
          <w:rFonts w:ascii="Times New Roman" w:hAnsi="Times New Roman" w:cs="Times New Roman"/>
          <w:sz w:val="20"/>
          <w:szCs w:val="20"/>
          <w:lang w:val="en-US"/>
        </w:rPr>
        <w:t>Beihilfenrecht</w:t>
      </w:r>
      <w:proofErr w:type="spellEnd"/>
      <w:r w:rsidRPr="00D7333C">
        <w:rPr>
          <w:rFonts w:ascii="Times New Roman" w:hAnsi="Times New Roman" w:cs="Times New Roman"/>
          <w:sz w:val="20"/>
          <w:szCs w:val="20"/>
          <w:lang w:val="en-US"/>
        </w:rPr>
        <w:t xml:space="preserve">, 2013, Chapter 1 nos. 5 et seq.; </w:t>
      </w:r>
      <w:proofErr w:type="spellStart"/>
      <w:r w:rsidRPr="00D7333C">
        <w:rPr>
          <w:rFonts w:ascii="Times New Roman" w:hAnsi="Times New Roman" w:cs="Times New Roman"/>
          <w:i/>
          <w:sz w:val="20"/>
          <w:szCs w:val="20"/>
          <w:lang w:val="en-US"/>
        </w:rPr>
        <w:t>Kreße</w:t>
      </w:r>
      <w:proofErr w:type="spellEnd"/>
      <w:r>
        <w:rPr>
          <w:rFonts w:ascii="Times New Roman" w:hAnsi="Times New Roman" w:cs="Times New Roman"/>
          <w:sz w:val="20"/>
          <w:szCs w:val="20"/>
          <w:lang w:val="en-US"/>
        </w:rPr>
        <w:t>,</w:t>
      </w:r>
      <w:r w:rsidRPr="00D7333C">
        <w:rPr>
          <w:rFonts w:ascii="Times New Roman" w:hAnsi="Times New Roman" w:cs="Times New Roman"/>
          <w:sz w:val="20"/>
          <w:szCs w:val="20"/>
          <w:lang w:val="en-US"/>
        </w:rPr>
        <w:t xml:space="preserve"> </w:t>
      </w:r>
      <w:proofErr w:type="spellStart"/>
      <w:r w:rsidRPr="00D7333C">
        <w:rPr>
          <w:rFonts w:ascii="Times New Roman" w:hAnsi="Times New Roman" w:cs="Times New Roman"/>
          <w:sz w:val="20"/>
          <w:szCs w:val="20"/>
          <w:lang w:val="en-US"/>
        </w:rPr>
        <w:t>Wettbewerb</w:t>
      </w:r>
      <w:proofErr w:type="spellEnd"/>
      <w:r w:rsidRPr="00D7333C">
        <w:rPr>
          <w:rFonts w:ascii="Times New Roman" w:hAnsi="Times New Roman" w:cs="Times New Roman"/>
          <w:sz w:val="20"/>
          <w:szCs w:val="20"/>
          <w:lang w:val="en-US"/>
        </w:rPr>
        <w:t xml:space="preserve"> in </w:t>
      </w:r>
      <w:proofErr w:type="spellStart"/>
      <w:r w:rsidRPr="00D7333C">
        <w:rPr>
          <w:rFonts w:ascii="Times New Roman" w:hAnsi="Times New Roman" w:cs="Times New Roman"/>
          <w:sz w:val="20"/>
          <w:szCs w:val="20"/>
          <w:lang w:val="en-US"/>
        </w:rPr>
        <w:t>Recht</w:t>
      </w:r>
      <w:proofErr w:type="spellEnd"/>
      <w:r w:rsidRPr="00D7333C">
        <w:rPr>
          <w:rFonts w:ascii="Times New Roman" w:hAnsi="Times New Roman" w:cs="Times New Roman"/>
          <w:sz w:val="20"/>
          <w:szCs w:val="20"/>
          <w:lang w:val="en-US"/>
        </w:rPr>
        <w:t xml:space="preserve"> und Praxis, 2017, 663.</w:t>
      </w:r>
    </w:p>
  </w:footnote>
  <w:footnote w:id="6">
    <w:p w14:paraId="3818E880" w14:textId="3C34F5C8" w:rsidR="00D13078" w:rsidRPr="00D7333C" w:rsidRDefault="00D13078" w:rsidP="00BE11A4">
      <w:pPr>
        <w:pStyle w:val="Funotentext"/>
        <w:jc w:val="both"/>
        <w:rPr>
          <w:rFonts w:ascii="Times New Roman" w:hAnsi="Times New Roman" w:cs="Times New Roman"/>
          <w:sz w:val="20"/>
          <w:szCs w:val="20"/>
          <w:lang w:val="en-US"/>
        </w:rPr>
      </w:pPr>
      <w:r w:rsidRPr="00D7333C">
        <w:rPr>
          <w:rStyle w:val="Funotenzeichen"/>
          <w:rFonts w:ascii="Times New Roman" w:hAnsi="Times New Roman" w:cs="Times New Roman"/>
          <w:sz w:val="20"/>
          <w:szCs w:val="20"/>
          <w:lang w:val="en-US"/>
        </w:rPr>
        <w:footnoteRef/>
      </w:r>
      <w:r w:rsidRPr="00D7333C">
        <w:rPr>
          <w:rFonts w:ascii="Times New Roman" w:hAnsi="Times New Roman" w:cs="Times New Roman"/>
          <w:sz w:val="20"/>
          <w:szCs w:val="20"/>
          <w:lang w:val="en-US"/>
        </w:rPr>
        <w:t xml:space="preserve"> Council Regulation (EU) 2015/1589 of 13 July 2015 </w:t>
      </w:r>
      <w:proofErr w:type="gramStart"/>
      <w:r w:rsidRPr="00D7333C">
        <w:rPr>
          <w:rFonts w:ascii="Times New Roman" w:hAnsi="Times New Roman" w:cs="Times New Roman"/>
          <w:sz w:val="20"/>
          <w:szCs w:val="20"/>
          <w:lang w:val="en-US"/>
        </w:rPr>
        <w:t>laying</w:t>
      </w:r>
      <w:proofErr w:type="gramEnd"/>
      <w:r w:rsidRPr="00D7333C">
        <w:rPr>
          <w:rFonts w:ascii="Times New Roman" w:hAnsi="Times New Roman" w:cs="Times New Roman"/>
          <w:sz w:val="20"/>
          <w:szCs w:val="20"/>
          <w:lang w:val="en-US"/>
        </w:rPr>
        <w:t xml:space="preserve"> down detailed rules for the application of Article 108 of the Treaty on the Functioning of the European Union (co</w:t>
      </w:r>
      <w:r>
        <w:rPr>
          <w:rFonts w:ascii="Times New Roman" w:hAnsi="Times New Roman" w:cs="Times New Roman"/>
          <w:sz w:val="20"/>
          <w:szCs w:val="20"/>
          <w:lang w:val="en-US"/>
        </w:rPr>
        <w:t xml:space="preserve">dification), OJ. </w:t>
      </w:r>
      <w:proofErr w:type="gramStart"/>
      <w:r>
        <w:rPr>
          <w:rFonts w:ascii="Times New Roman" w:hAnsi="Times New Roman" w:cs="Times New Roman"/>
          <w:sz w:val="20"/>
          <w:szCs w:val="20"/>
          <w:lang w:val="en-US"/>
        </w:rPr>
        <w:t xml:space="preserve">2015 L 248, </w:t>
      </w:r>
      <w:r w:rsidRPr="00D7333C">
        <w:rPr>
          <w:rFonts w:ascii="Times New Roman" w:hAnsi="Times New Roman" w:cs="Times New Roman"/>
          <w:sz w:val="20"/>
          <w:szCs w:val="20"/>
          <w:lang w:val="en-US"/>
        </w:rPr>
        <w:t>9.</w:t>
      </w:r>
      <w:proofErr w:type="gramEnd"/>
    </w:p>
  </w:footnote>
  <w:footnote w:id="7">
    <w:p w14:paraId="1DFCFF67" w14:textId="51451116" w:rsidR="00D13078" w:rsidRPr="00D7333C" w:rsidRDefault="00D13078" w:rsidP="00BE11A4">
      <w:pPr>
        <w:pStyle w:val="Funotentext"/>
        <w:jc w:val="both"/>
        <w:rPr>
          <w:rFonts w:ascii="Times New Roman" w:hAnsi="Times New Roman" w:cs="Times New Roman"/>
          <w:sz w:val="20"/>
          <w:szCs w:val="20"/>
          <w:lang w:val="en-US"/>
        </w:rPr>
      </w:pPr>
      <w:r w:rsidRPr="00D7333C">
        <w:rPr>
          <w:rStyle w:val="Funotenzeichen"/>
          <w:rFonts w:ascii="Times New Roman" w:hAnsi="Times New Roman" w:cs="Times New Roman"/>
          <w:sz w:val="20"/>
          <w:szCs w:val="20"/>
          <w:lang w:val="en-US"/>
        </w:rPr>
        <w:footnoteRef/>
      </w:r>
      <w:r w:rsidRPr="00D7333C">
        <w:rPr>
          <w:rFonts w:ascii="Times New Roman" w:hAnsi="Times New Roman" w:cs="Times New Roman"/>
          <w:sz w:val="20"/>
          <w:szCs w:val="20"/>
          <w:lang w:val="en-US"/>
        </w:rPr>
        <w:t xml:space="preserve"> </w:t>
      </w:r>
      <w:proofErr w:type="gramStart"/>
      <w:r w:rsidRPr="00D7333C">
        <w:rPr>
          <w:rFonts w:ascii="Times New Roman" w:hAnsi="Times New Roman" w:cs="Times New Roman"/>
          <w:sz w:val="20"/>
          <w:szCs w:val="20"/>
          <w:lang w:val="en-US"/>
        </w:rPr>
        <w:t>ECJ 11/21/1991 – C-354/90, ECR 1991, I-5505 nos. 16 et seq. – FNCE; see.</w:t>
      </w:r>
      <w:proofErr w:type="gramEnd"/>
      <w:r w:rsidRPr="00D7333C">
        <w:rPr>
          <w:rFonts w:ascii="Times New Roman" w:hAnsi="Times New Roman" w:cs="Times New Roman"/>
          <w:sz w:val="20"/>
          <w:szCs w:val="20"/>
          <w:lang w:val="en-US"/>
        </w:rPr>
        <w:t xml:space="preserve"> </w:t>
      </w:r>
      <w:proofErr w:type="gramStart"/>
      <w:r w:rsidRPr="00D7333C">
        <w:rPr>
          <w:rFonts w:ascii="Times New Roman" w:hAnsi="Times New Roman" w:cs="Times New Roman"/>
          <w:i/>
          <w:sz w:val="20"/>
          <w:szCs w:val="20"/>
          <w:lang w:val="en-US"/>
        </w:rPr>
        <w:t>Cremer</w:t>
      </w:r>
      <w:r w:rsidRPr="004A48B6">
        <w:rPr>
          <w:rFonts w:ascii="Times New Roman" w:hAnsi="Times New Roman" w:cs="Times New Roman"/>
          <w:sz w:val="20"/>
          <w:szCs w:val="20"/>
          <w:lang w:val="en-US"/>
        </w:rPr>
        <w:t>,</w:t>
      </w:r>
      <w:r w:rsidRPr="00D7333C">
        <w:rPr>
          <w:rFonts w:ascii="Times New Roman" w:hAnsi="Times New Roman" w:cs="Times New Roman"/>
          <w:sz w:val="20"/>
          <w:szCs w:val="20"/>
          <w:lang w:val="en-US"/>
        </w:rPr>
        <w:t xml:space="preserve"> in </w:t>
      </w:r>
      <w:proofErr w:type="spellStart"/>
      <w:r w:rsidRPr="00D7333C">
        <w:rPr>
          <w:rFonts w:ascii="Times New Roman" w:hAnsi="Times New Roman" w:cs="Times New Roman"/>
          <w:sz w:val="20"/>
          <w:szCs w:val="20"/>
          <w:lang w:val="en-US"/>
        </w:rPr>
        <w:t>Calliess</w:t>
      </w:r>
      <w:proofErr w:type="spellEnd"/>
      <w:r w:rsidRPr="00D7333C">
        <w:rPr>
          <w:rFonts w:ascii="Times New Roman" w:hAnsi="Times New Roman" w:cs="Times New Roman"/>
          <w:sz w:val="20"/>
          <w:szCs w:val="20"/>
          <w:lang w:val="en-US"/>
        </w:rPr>
        <w:t>/</w:t>
      </w:r>
      <w:proofErr w:type="spellStart"/>
      <w:r w:rsidRPr="00D7333C">
        <w:rPr>
          <w:rFonts w:ascii="Times New Roman" w:hAnsi="Times New Roman" w:cs="Times New Roman"/>
          <w:sz w:val="20"/>
          <w:szCs w:val="20"/>
          <w:lang w:val="en-US"/>
        </w:rPr>
        <w:t>Ruffert</w:t>
      </w:r>
      <w:proofErr w:type="spellEnd"/>
      <w:r w:rsidRPr="00D7333C">
        <w:rPr>
          <w:rFonts w:ascii="Times New Roman" w:hAnsi="Times New Roman" w:cs="Times New Roman"/>
          <w:sz w:val="20"/>
          <w:szCs w:val="20"/>
          <w:lang w:val="en-US"/>
        </w:rPr>
        <w:t>, 5</w:t>
      </w:r>
      <w:r w:rsidRPr="00D7333C">
        <w:rPr>
          <w:rFonts w:ascii="Times New Roman" w:hAnsi="Times New Roman" w:cs="Times New Roman"/>
          <w:sz w:val="20"/>
          <w:szCs w:val="20"/>
          <w:vertAlign w:val="superscript"/>
          <w:lang w:val="en-US"/>
        </w:rPr>
        <w:t>th</w:t>
      </w:r>
      <w:r w:rsidRPr="00D7333C">
        <w:rPr>
          <w:rFonts w:ascii="Times New Roman" w:hAnsi="Times New Roman" w:cs="Times New Roman"/>
          <w:sz w:val="20"/>
          <w:szCs w:val="20"/>
          <w:lang w:val="en-US"/>
        </w:rPr>
        <w:t xml:space="preserve"> ed. 2016, TFEU Art.</w:t>
      </w:r>
      <w:proofErr w:type="gramEnd"/>
      <w:r w:rsidRPr="00D7333C">
        <w:rPr>
          <w:rFonts w:ascii="Times New Roman" w:hAnsi="Times New Roman" w:cs="Times New Roman"/>
          <w:sz w:val="20"/>
          <w:szCs w:val="20"/>
          <w:lang w:val="en-US"/>
        </w:rPr>
        <w:t xml:space="preserve"> 108 no. 12; </w:t>
      </w:r>
      <w:proofErr w:type="spellStart"/>
      <w:r w:rsidRPr="00D7333C">
        <w:rPr>
          <w:rFonts w:ascii="Times New Roman" w:hAnsi="Times New Roman" w:cs="Times New Roman"/>
          <w:i/>
          <w:sz w:val="20"/>
          <w:szCs w:val="20"/>
          <w:lang w:val="en-US"/>
        </w:rPr>
        <w:t>Kreße</w:t>
      </w:r>
      <w:proofErr w:type="spellEnd"/>
      <w:r w:rsidRPr="004A48B6">
        <w:rPr>
          <w:rFonts w:ascii="Times New Roman" w:hAnsi="Times New Roman" w:cs="Times New Roman"/>
          <w:sz w:val="20"/>
          <w:szCs w:val="20"/>
          <w:lang w:val="en-US"/>
        </w:rPr>
        <w:t>,</w:t>
      </w:r>
      <w:r w:rsidRPr="00D7333C">
        <w:rPr>
          <w:rFonts w:ascii="Times New Roman" w:hAnsi="Times New Roman" w:cs="Times New Roman"/>
          <w:sz w:val="20"/>
          <w:szCs w:val="20"/>
          <w:lang w:val="en-US"/>
        </w:rPr>
        <w:t xml:space="preserve"> Journal of Competition Law, 2008, 271 (see p. 273 et seq.); </w:t>
      </w:r>
      <w:proofErr w:type="gramStart"/>
      <w:r w:rsidRPr="00D7333C">
        <w:rPr>
          <w:rFonts w:ascii="Times New Roman" w:hAnsi="Times New Roman" w:cs="Times New Roman"/>
          <w:i/>
          <w:sz w:val="20"/>
          <w:szCs w:val="20"/>
          <w:lang w:val="en-US"/>
        </w:rPr>
        <w:t>ibid.</w:t>
      </w:r>
      <w:r w:rsidRPr="004A48B6">
        <w:rPr>
          <w:rFonts w:ascii="Times New Roman" w:hAnsi="Times New Roman" w:cs="Times New Roman"/>
          <w:sz w:val="20"/>
          <w:szCs w:val="20"/>
          <w:lang w:val="en-US"/>
        </w:rPr>
        <w:t>,</w:t>
      </w:r>
      <w:proofErr w:type="gramEnd"/>
      <w:r w:rsidRPr="00D7333C">
        <w:rPr>
          <w:rFonts w:ascii="Times New Roman" w:hAnsi="Times New Roman" w:cs="Times New Roman"/>
          <w:sz w:val="20"/>
          <w:szCs w:val="20"/>
          <w:lang w:val="en-US"/>
        </w:rPr>
        <w:t xml:space="preserve"> </w:t>
      </w:r>
      <w:proofErr w:type="spellStart"/>
      <w:r w:rsidRPr="00D7333C">
        <w:rPr>
          <w:rFonts w:ascii="Times New Roman" w:hAnsi="Times New Roman" w:cs="Times New Roman"/>
          <w:sz w:val="20"/>
          <w:szCs w:val="20"/>
          <w:lang w:val="en-US"/>
        </w:rPr>
        <w:t>Wettbewerb</w:t>
      </w:r>
      <w:proofErr w:type="spellEnd"/>
      <w:r w:rsidRPr="00D7333C">
        <w:rPr>
          <w:rFonts w:ascii="Times New Roman" w:hAnsi="Times New Roman" w:cs="Times New Roman"/>
          <w:sz w:val="20"/>
          <w:szCs w:val="20"/>
          <w:lang w:val="en-US"/>
        </w:rPr>
        <w:t xml:space="preserve"> in </w:t>
      </w:r>
      <w:proofErr w:type="spellStart"/>
      <w:r w:rsidRPr="00D7333C">
        <w:rPr>
          <w:rFonts w:ascii="Times New Roman" w:hAnsi="Times New Roman" w:cs="Times New Roman"/>
          <w:sz w:val="20"/>
          <w:szCs w:val="20"/>
          <w:lang w:val="en-US"/>
        </w:rPr>
        <w:t>Recht</w:t>
      </w:r>
      <w:proofErr w:type="spellEnd"/>
      <w:r w:rsidRPr="00D7333C">
        <w:rPr>
          <w:rFonts w:ascii="Times New Roman" w:hAnsi="Times New Roman" w:cs="Times New Roman"/>
          <w:sz w:val="20"/>
          <w:szCs w:val="20"/>
          <w:lang w:val="en-US"/>
        </w:rPr>
        <w:t xml:space="preserve"> und Praxis, 2017, 663 (p. 664); </w:t>
      </w:r>
      <w:proofErr w:type="spellStart"/>
      <w:r w:rsidRPr="00D7333C">
        <w:rPr>
          <w:rFonts w:ascii="Times New Roman" w:hAnsi="Times New Roman" w:cs="Times New Roman"/>
          <w:i/>
          <w:sz w:val="20"/>
          <w:szCs w:val="20"/>
          <w:lang w:val="en-US"/>
        </w:rPr>
        <w:t>Kreße</w:t>
      </w:r>
      <w:proofErr w:type="spellEnd"/>
      <w:r w:rsidRPr="004A48B6">
        <w:rPr>
          <w:rFonts w:ascii="Times New Roman" w:hAnsi="Times New Roman" w:cs="Times New Roman"/>
          <w:sz w:val="20"/>
          <w:szCs w:val="20"/>
          <w:lang w:val="en-US"/>
        </w:rPr>
        <w:t>,</w:t>
      </w:r>
      <w:r w:rsidRPr="00D7333C">
        <w:rPr>
          <w:rFonts w:ascii="Times New Roman" w:hAnsi="Times New Roman" w:cs="Times New Roman"/>
          <w:sz w:val="20"/>
          <w:szCs w:val="20"/>
          <w:lang w:val="en-US"/>
        </w:rPr>
        <w:t xml:space="preserve"> European Union Private Law Review, 2018, 210. </w:t>
      </w:r>
    </w:p>
  </w:footnote>
  <w:footnote w:id="8">
    <w:p w14:paraId="750B8FD5" w14:textId="019F246D" w:rsidR="00D13078" w:rsidRPr="00D7333C" w:rsidRDefault="00D13078" w:rsidP="008E3155">
      <w:pPr>
        <w:pStyle w:val="Funotentext"/>
        <w:jc w:val="both"/>
        <w:rPr>
          <w:rFonts w:ascii="Times New Roman" w:hAnsi="Times New Roman" w:cs="Times New Roman"/>
          <w:sz w:val="20"/>
          <w:szCs w:val="20"/>
          <w:lang w:val="en-US"/>
        </w:rPr>
      </w:pPr>
      <w:r w:rsidRPr="00D7333C">
        <w:rPr>
          <w:rStyle w:val="Funotenzeichen"/>
          <w:rFonts w:ascii="Times New Roman" w:hAnsi="Times New Roman" w:cs="Times New Roman"/>
          <w:sz w:val="20"/>
          <w:szCs w:val="20"/>
          <w:lang w:val="en-US"/>
        </w:rPr>
        <w:footnoteRef/>
      </w:r>
      <w:r w:rsidRPr="00D7333C">
        <w:rPr>
          <w:rFonts w:ascii="Times New Roman" w:hAnsi="Times New Roman" w:cs="Times New Roman"/>
          <w:sz w:val="20"/>
          <w:szCs w:val="20"/>
          <w:lang w:val="en-US"/>
        </w:rPr>
        <w:t xml:space="preserve"> </w:t>
      </w:r>
      <w:proofErr w:type="spellStart"/>
      <w:proofErr w:type="gramStart"/>
      <w:r w:rsidRPr="00D7333C">
        <w:rPr>
          <w:rFonts w:ascii="Times New Roman" w:hAnsi="Times New Roman" w:cs="Times New Roman"/>
          <w:i/>
          <w:sz w:val="20"/>
          <w:szCs w:val="20"/>
          <w:lang w:val="en-US"/>
        </w:rPr>
        <w:t>Barbist</w:t>
      </w:r>
      <w:proofErr w:type="spellEnd"/>
      <w:r w:rsidRPr="00D7333C">
        <w:rPr>
          <w:rFonts w:ascii="Times New Roman" w:hAnsi="Times New Roman" w:cs="Times New Roman"/>
          <w:i/>
          <w:sz w:val="20"/>
          <w:szCs w:val="20"/>
          <w:lang w:val="en-US"/>
        </w:rPr>
        <w:t>/</w:t>
      </w:r>
      <w:proofErr w:type="spellStart"/>
      <w:r w:rsidRPr="00D7333C">
        <w:rPr>
          <w:rFonts w:ascii="Times New Roman" w:hAnsi="Times New Roman" w:cs="Times New Roman"/>
          <w:i/>
          <w:sz w:val="20"/>
          <w:szCs w:val="20"/>
          <w:lang w:val="en-US"/>
        </w:rPr>
        <w:t>Halder</w:t>
      </w:r>
      <w:proofErr w:type="spellEnd"/>
      <w:r w:rsidRPr="00D7333C">
        <w:rPr>
          <w:rFonts w:ascii="Times New Roman" w:hAnsi="Times New Roman" w:cs="Times New Roman"/>
          <w:i/>
          <w:sz w:val="20"/>
          <w:szCs w:val="20"/>
          <w:lang w:val="en-US"/>
        </w:rPr>
        <w:t>/</w:t>
      </w:r>
      <w:proofErr w:type="spellStart"/>
      <w:r w:rsidRPr="00D7333C">
        <w:rPr>
          <w:rFonts w:ascii="Times New Roman" w:hAnsi="Times New Roman" w:cs="Times New Roman"/>
          <w:i/>
          <w:sz w:val="20"/>
          <w:szCs w:val="20"/>
          <w:lang w:val="en-US"/>
        </w:rPr>
        <w:t>Schachl</w:t>
      </w:r>
      <w:proofErr w:type="spellEnd"/>
      <w:r w:rsidRPr="004A48B6">
        <w:rPr>
          <w:rFonts w:ascii="Times New Roman" w:hAnsi="Times New Roman" w:cs="Times New Roman"/>
          <w:sz w:val="20"/>
          <w:szCs w:val="20"/>
          <w:lang w:val="en-US"/>
        </w:rPr>
        <w:t>,</w:t>
      </w:r>
      <w:r w:rsidRPr="00D7333C">
        <w:rPr>
          <w:rFonts w:ascii="Times New Roman" w:hAnsi="Times New Roman" w:cs="Times New Roman"/>
          <w:sz w:val="20"/>
          <w:szCs w:val="20"/>
          <w:lang w:val="en-US"/>
        </w:rPr>
        <w:t xml:space="preserve"> in Jaeger/</w:t>
      </w:r>
      <w:proofErr w:type="spellStart"/>
      <w:r w:rsidRPr="00D7333C">
        <w:rPr>
          <w:rFonts w:ascii="Times New Roman" w:hAnsi="Times New Roman" w:cs="Times New Roman"/>
          <w:sz w:val="20"/>
          <w:szCs w:val="20"/>
          <w:lang w:val="en-US"/>
        </w:rPr>
        <w:t>Haslinger</w:t>
      </w:r>
      <w:proofErr w:type="spellEnd"/>
      <w:r w:rsidRPr="00D7333C">
        <w:rPr>
          <w:rFonts w:ascii="Times New Roman" w:hAnsi="Times New Roman" w:cs="Times New Roman"/>
          <w:sz w:val="20"/>
          <w:szCs w:val="20"/>
          <w:lang w:val="en-US"/>
        </w:rPr>
        <w:t xml:space="preserve">, </w:t>
      </w:r>
      <w:proofErr w:type="spellStart"/>
      <w:r w:rsidRPr="00D7333C">
        <w:rPr>
          <w:rFonts w:ascii="Times New Roman" w:hAnsi="Times New Roman" w:cs="Times New Roman"/>
          <w:sz w:val="20"/>
          <w:szCs w:val="20"/>
          <w:lang w:val="en-US"/>
        </w:rPr>
        <w:t>Beihilferecht</w:t>
      </w:r>
      <w:proofErr w:type="spellEnd"/>
      <w:r w:rsidRPr="00D7333C">
        <w:rPr>
          <w:rFonts w:ascii="Times New Roman" w:hAnsi="Times New Roman" w:cs="Times New Roman"/>
          <w:sz w:val="20"/>
          <w:szCs w:val="20"/>
          <w:lang w:val="en-US"/>
        </w:rPr>
        <w:t xml:space="preserve"> </w:t>
      </w:r>
      <w:proofErr w:type="spellStart"/>
      <w:r w:rsidRPr="00D7333C">
        <w:rPr>
          <w:rFonts w:ascii="Times New Roman" w:hAnsi="Times New Roman" w:cs="Times New Roman"/>
          <w:sz w:val="20"/>
          <w:szCs w:val="20"/>
          <w:lang w:val="en-US"/>
        </w:rPr>
        <w:t>Jahrbuch</w:t>
      </w:r>
      <w:proofErr w:type="spellEnd"/>
      <w:r w:rsidRPr="00D7333C">
        <w:rPr>
          <w:rFonts w:ascii="Times New Roman" w:hAnsi="Times New Roman" w:cs="Times New Roman"/>
          <w:sz w:val="20"/>
          <w:szCs w:val="20"/>
          <w:lang w:val="en-US"/>
        </w:rPr>
        <w:t xml:space="preserve"> 2012, 2012, 551 (see p. 566); comp. </w:t>
      </w:r>
      <w:proofErr w:type="spellStart"/>
      <w:r w:rsidRPr="00D7333C">
        <w:rPr>
          <w:rFonts w:ascii="Times New Roman" w:hAnsi="Times New Roman" w:cs="Times New Roman"/>
          <w:i/>
          <w:sz w:val="20"/>
          <w:szCs w:val="20"/>
          <w:lang w:val="en-US"/>
        </w:rPr>
        <w:t>Kreße</w:t>
      </w:r>
      <w:proofErr w:type="spellEnd"/>
      <w:r w:rsidRPr="004A48B6">
        <w:rPr>
          <w:rFonts w:ascii="Times New Roman" w:hAnsi="Times New Roman" w:cs="Times New Roman"/>
          <w:sz w:val="20"/>
          <w:szCs w:val="20"/>
          <w:lang w:val="en-US"/>
        </w:rPr>
        <w:t>,</w:t>
      </w:r>
      <w:r w:rsidRPr="00D7333C">
        <w:rPr>
          <w:rFonts w:ascii="Times New Roman" w:hAnsi="Times New Roman" w:cs="Times New Roman"/>
          <w:sz w:val="20"/>
          <w:szCs w:val="20"/>
          <w:lang w:val="en-US"/>
        </w:rPr>
        <w:t xml:space="preserve"> </w:t>
      </w:r>
      <w:proofErr w:type="spellStart"/>
      <w:r w:rsidRPr="00D7333C">
        <w:rPr>
          <w:rFonts w:ascii="Times New Roman" w:hAnsi="Times New Roman" w:cs="Times New Roman"/>
          <w:sz w:val="20"/>
          <w:szCs w:val="20"/>
          <w:lang w:val="en-US"/>
        </w:rPr>
        <w:t>Wettbewerb</w:t>
      </w:r>
      <w:proofErr w:type="spellEnd"/>
      <w:r w:rsidRPr="00D7333C">
        <w:rPr>
          <w:rFonts w:ascii="Times New Roman" w:hAnsi="Times New Roman" w:cs="Times New Roman"/>
          <w:sz w:val="20"/>
          <w:szCs w:val="20"/>
          <w:lang w:val="en-US"/>
        </w:rPr>
        <w:t xml:space="preserve"> in </w:t>
      </w:r>
      <w:proofErr w:type="spellStart"/>
      <w:r w:rsidRPr="00D7333C">
        <w:rPr>
          <w:rFonts w:ascii="Times New Roman" w:hAnsi="Times New Roman" w:cs="Times New Roman"/>
          <w:sz w:val="20"/>
          <w:szCs w:val="20"/>
          <w:lang w:val="en-US"/>
        </w:rPr>
        <w:t>R</w:t>
      </w:r>
      <w:r>
        <w:rPr>
          <w:rFonts w:ascii="Times New Roman" w:hAnsi="Times New Roman" w:cs="Times New Roman"/>
          <w:sz w:val="20"/>
          <w:szCs w:val="20"/>
          <w:lang w:val="en-US"/>
        </w:rPr>
        <w:t>echt</w:t>
      </w:r>
      <w:proofErr w:type="spellEnd"/>
      <w:r>
        <w:rPr>
          <w:rFonts w:ascii="Times New Roman" w:hAnsi="Times New Roman" w:cs="Times New Roman"/>
          <w:sz w:val="20"/>
          <w:szCs w:val="20"/>
          <w:lang w:val="en-US"/>
        </w:rPr>
        <w:t xml:space="preserve"> und Praxis, 2017, 663 (</w:t>
      </w:r>
      <w:r w:rsidRPr="00D7333C">
        <w:rPr>
          <w:rFonts w:ascii="Times New Roman" w:hAnsi="Times New Roman" w:cs="Times New Roman"/>
          <w:sz w:val="20"/>
          <w:szCs w:val="20"/>
          <w:lang w:val="en-US"/>
        </w:rPr>
        <w:t>p. 664).</w:t>
      </w:r>
      <w:proofErr w:type="gramEnd"/>
    </w:p>
  </w:footnote>
  <w:footnote w:id="9">
    <w:p w14:paraId="72CBE7CF" w14:textId="4512C0E7" w:rsidR="00D13078" w:rsidRPr="00E66CF8" w:rsidRDefault="00D13078" w:rsidP="00F955AA">
      <w:pPr>
        <w:suppressAutoHyphens/>
        <w:autoSpaceDE w:val="0"/>
        <w:autoSpaceDN w:val="0"/>
        <w:adjustRightInd w:val="0"/>
        <w:jc w:val="both"/>
        <w:rPr>
          <w:sz w:val="20"/>
          <w:szCs w:val="20"/>
        </w:rPr>
      </w:pPr>
      <w:r w:rsidRPr="00E66CF8">
        <w:rPr>
          <w:rStyle w:val="Funotenzeichen"/>
          <w:sz w:val="20"/>
          <w:szCs w:val="20"/>
        </w:rPr>
        <w:footnoteRef/>
      </w:r>
      <w:r w:rsidRPr="00E66CF8">
        <w:rPr>
          <w:sz w:val="20"/>
          <w:szCs w:val="20"/>
        </w:rPr>
        <w:t xml:space="preserve"> </w:t>
      </w:r>
      <w:r>
        <w:rPr>
          <w:sz w:val="20"/>
          <w:szCs w:val="20"/>
        </w:rPr>
        <w:t>ECJ</w:t>
      </w:r>
      <w:r w:rsidRPr="00E66CF8">
        <w:rPr>
          <w:sz w:val="20"/>
          <w:szCs w:val="20"/>
        </w:rPr>
        <w:t xml:space="preserve"> </w:t>
      </w:r>
      <w:r>
        <w:rPr>
          <w:sz w:val="20"/>
          <w:szCs w:val="20"/>
        </w:rPr>
        <w:t>07/11/</w:t>
      </w:r>
      <w:r w:rsidRPr="00E66CF8">
        <w:rPr>
          <w:sz w:val="20"/>
          <w:szCs w:val="20"/>
        </w:rPr>
        <w:t xml:space="preserve">1996 – C-39/94, </w:t>
      </w:r>
      <w:r>
        <w:rPr>
          <w:sz w:val="20"/>
          <w:szCs w:val="20"/>
        </w:rPr>
        <w:t>ECR</w:t>
      </w:r>
      <w:r w:rsidRPr="00E66CF8">
        <w:rPr>
          <w:sz w:val="20"/>
          <w:szCs w:val="20"/>
        </w:rPr>
        <w:t xml:space="preserve"> 1996, I-3547 </w:t>
      </w:r>
      <w:proofErr w:type="spellStart"/>
      <w:r>
        <w:rPr>
          <w:sz w:val="20"/>
          <w:szCs w:val="20"/>
        </w:rPr>
        <w:t>no</w:t>
      </w:r>
      <w:proofErr w:type="spellEnd"/>
      <w:r w:rsidRPr="00E66CF8">
        <w:rPr>
          <w:sz w:val="20"/>
          <w:szCs w:val="20"/>
        </w:rPr>
        <w:t xml:space="preserve">. 40 – SFEI; </w:t>
      </w:r>
      <w:r>
        <w:rPr>
          <w:sz w:val="20"/>
          <w:szCs w:val="20"/>
        </w:rPr>
        <w:t>7/21/</w:t>
      </w:r>
      <w:r w:rsidRPr="00E66CF8">
        <w:rPr>
          <w:sz w:val="20"/>
          <w:szCs w:val="20"/>
        </w:rPr>
        <w:t xml:space="preserve">2005 – C-71/04, </w:t>
      </w:r>
      <w:r>
        <w:rPr>
          <w:sz w:val="20"/>
          <w:szCs w:val="20"/>
        </w:rPr>
        <w:t>ECR</w:t>
      </w:r>
      <w:r w:rsidRPr="00E66CF8">
        <w:rPr>
          <w:sz w:val="20"/>
          <w:szCs w:val="20"/>
        </w:rPr>
        <w:t xml:space="preserve"> 2005, I-7419 </w:t>
      </w:r>
      <w:proofErr w:type="spellStart"/>
      <w:r>
        <w:rPr>
          <w:sz w:val="20"/>
          <w:szCs w:val="20"/>
        </w:rPr>
        <w:t>no</w:t>
      </w:r>
      <w:proofErr w:type="spellEnd"/>
      <w:r w:rsidRPr="00E66CF8">
        <w:rPr>
          <w:sz w:val="20"/>
          <w:szCs w:val="20"/>
        </w:rPr>
        <w:t xml:space="preserve">. 49 – </w:t>
      </w:r>
      <w:proofErr w:type="spellStart"/>
      <w:r w:rsidRPr="00E66CF8">
        <w:rPr>
          <w:sz w:val="20"/>
          <w:szCs w:val="20"/>
        </w:rPr>
        <w:t>Xunta</w:t>
      </w:r>
      <w:proofErr w:type="spellEnd"/>
      <w:r w:rsidRPr="00E66CF8">
        <w:rPr>
          <w:sz w:val="20"/>
          <w:szCs w:val="20"/>
        </w:rPr>
        <w:t xml:space="preserve"> de </w:t>
      </w:r>
      <w:proofErr w:type="spellStart"/>
      <w:r w:rsidRPr="00E66CF8">
        <w:rPr>
          <w:sz w:val="20"/>
          <w:szCs w:val="20"/>
        </w:rPr>
        <w:t>Galicia</w:t>
      </w:r>
      <w:proofErr w:type="spellEnd"/>
      <w:r w:rsidRPr="00E66CF8">
        <w:rPr>
          <w:sz w:val="20"/>
          <w:szCs w:val="20"/>
        </w:rPr>
        <w:t xml:space="preserve">; </w:t>
      </w:r>
      <w:proofErr w:type="spellStart"/>
      <w:r w:rsidRPr="00E66CF8">
        <w:rPr>
          <w:sz w:val="20"/>
          <w:szCs w:val="20"/>
        </w:rPr>
        <w:t>s</w:t>
      </w:r>
      <w:r>
        <w:rPr>
          <w:sz w:val="20"/>
          <w:szCs w:val="20"/>
        </w:rPr>
        <w:t>ee</w:t>
      </w:r>
      <w:proofErr w:type="spellEnd"/>
      <w:r>
        <w:rPr>
          <w:sz w:val="20"/>
          <w:szCs w:val="20"/>
        </w:rPr>
        <w:t xml:space="preserve"> also </w:t>
      </w:r>
      <w:proofErr w:type="spellStart"/>
      <w:r>
        <w:rPr>
          <w:sz w:val="20"/>
          <w:szCs w:val="20"/>
        </w:rPr>
        <w:t>the</w:t>
      </w:r>
      <w:proofErr w:type="spellEnd"/>
      <w:r>
        <w:rPr>
          <w:sz w:val="20"/>
          <w:szCs w:val="20"/>
        </w:rPr>
        <w:t xml:space="preserve"> so-</w:t>
      </w:r>
      <w:proofErr w:type="spellStart"/>
      <w:r>
        <w:rPr>
          <w:sz w:val="20"/>
          <w:szCs w:val="20"/>
        </w:rPr>
        <w:t>calle</w:t>
      </w:r>
      <w:proofErr w:type="spellEnd"/>
      <w:r w:rsidRPr="00F955AA">
        <w:rPr>
          <w:sz w:val="20"/>
          <w:szCs w:val="20"/>
          <w:lang w:val="en-US"/>
        </w:rPr>
        <w:t>d</w:t>
      </w:r>
      <w:r>
        <w:rPr>
          <w:sz w:val="20"/>
          <w:szCs w:val="20"/>
          <w:lang w:val="en-US"/>
        </w:rPr>
        <w:t xml:space="preserve"> “airport decisions”:</w:t>
      </w:r>
      <w:r w:rsidRPr="00F955AA">
        <w:rPr>
          <w:sz w:val="20"/>
          <w:szCs w:val="20"/>
          <w:lang w:val="en-US"/>
        </w:rPr>
        <w:t xml:space="preserve"> </w:t>
      </w:r>
      <w:r>
        <w:rPr>
          <w:sz w:val="20"/>
          <w:szCs w:val="20"/>
          <w:lang w:val="en-US"/>
        </w:rPr>
        <w:t>ECJ</w:t>
      </w:r>
      <w:r w:rsidRPr="00F955AA">
        <w:rPr>
          <w:sz w:val="20"/>
          <w:szCs w:val="20"/>
          <w:lang w:val="en-US"/>
        </w:rPr>
        <w:t xml:space="preserve"> </w:t>
      </w:r>
      <w:r>
        <w:rPr>
          <w:sz w:val="20"/>
          <w:szCs w:val="20"/>
          <w:lang w:val="en-US"/>
        </w:rPr>
        <w:t>11/21/</w:t>
      </w:r>
      <w:r w:rsidRPr="00F955AA">
        <w:rPr>
          <w:sz w:val="20"/>
          <w:szCs w:val="20"/>
          <w:lang w:val="en-US"/>
        </w:rPr>
        <w:t xml:space="preserve">2013 – C-284/12, </w:t>
      </w:r>
      <w:r>
        <w:rPr>
          <w:sz w:val="20"/>
          <w:szCs w:val="20"/>
          <w:lang w:val="en-US"/>
        </w:rPr>
        <w:t>ECLI:EU:C:2013:755 no.</w:t>
      </w:r>
      <w:r w:rsidRPr="00F955AA">
        <w:rPr>
          <w:sz w:val="20"/>
          <w:szCs w:val="20"/>
          <w:lang w:val="en-US"/>
        </w:rPr>
        <w:t xml:space="preserve"> 42 – Lufthansa; 4</w:t>
      </w:r>
      <w:r>
        <w:rPr>
          <w:sz w:val="20"/>
          <w:szCs w:val="20"/>
          <w:lang w:val="en-US"/>
        </w:rPr>
        <w:t>/</w:t>
      </w:r>
      <w:r w:rsidRPr="00F955AA">
        <w:rPr>
          <w:sz w:val="20"/>
          <w:szCs w:val="20"/>
          <w:lang w:val="en-US"/>
        </w:rPr>
        <w:t>4</w:t>
      </w:r>
      <w:r>
        <w:rPr>
          <w:sz w:val="20"/>
          <w:szCs w:val="20"/>
          <w:lang w:val="en-US"/>
        </w:rPr>
        <w:t>/</w:t>
      </w:r>
      <w:r w:rsidRPr="00F955AA">
        <w:rPr>
          <w:sz w:val="20"/>
          <w:szCs w:val="20"/>
          <w:lang w:val="en-US"/>
        </w:rPr>
        <w:t>2014 – C-27/13,</w:t>
      </w:r>
      <w:r>
        <w:rPr>
          <w:sz w:val="20"/>
          <w:szCs w:val="20"/>
          <w:lang w:val="en-US"/>
        </w:rPr>
        <w:t xml:space="preserve"> ECLI</w:t>
      </w:r>
      <w:proofErr w:type="gramStart"/>
      <w:r>
        <w:rPr>
          <w:sz w:val="20"/>
          <w:szCs w:val="20"/>
          <w:lang w:val="en-US"/>
        </w:rPr>
        <w:t>:EU:C:2014:240</w:t>
      </w:r>
      <w:proofErr w:type="gramEnd"/>
      <w:r>
        <w:rPr>
          <w:sz w:val="20"/>
          <w:szCs w:val="20"/>
          <w:lang w:val="en-US"/>
        </w:rPr>
        <w:t xml:space="preserve"> no</w:t>
      </w:r>
      <w:r w:rsidRPr="00F955AA">
        <w:rPr>
          <w:sz w:val="20"/>
          <w:szCs w:val="20"/>
          <w:lang w:val="en-US"/>
        </w:rPr>
        <w:t xml:space="preserve">. 25 – </w:t>
      </w:r>
      <w:proofErr w:type="spellStart"/>
      <w:r w:rsidRPr="00F955AA">
        <w:rPr>
          <w:sz w:val="20"/>
          <w:szCs w:val="20"/>
          <w:lang w:val="en-US"/>
        </w:rPr>
        <w:t>Flughafen</w:t>
      </w:r>
      <w:proofErr w:type="spellEnd"/>
      <w:r w:rsidRPr="00F955AA">
        <w:rPr>
          <w:sz w:val="20"/>
          <w:szCs w:val="20"/>
          <w:lang w:val="en-US"/>
        </w:rPr>
        <w:t xml:space="preserve"> </w:t>
      </w:r>
      <w:proofErr w:type="spellStart"/>
      <w:r w:rsidRPr="00F955AA">
        <w:rPr>
          <w:sz w:val="20"/>
          <w:szCs w:val="20"/>
          <w:lang w:val="en-US"/>
        </w:rPr>
        <w:t>Lübeck</w:t>
      </w:r>
      <w:proofErr w:type="spellEnd"/>
      <w:r w:rsidRPr="00F955AA">
        <w:rPr>
          <w:sz w:val="20"/>
          <w:szCs w:val="20"/>
          <w:lang w:val="en-US"/>
        </w:rPr>
        <w:t xml:space="preserve">; </w:t>
      </w:r>
      <w:r>
        <w:rPr>
          <w:sz w:val="20"/>
          <w:szCs w:val="20"/>
          <w:lang w:val="en-US"/>
        </w:rPr>
        <w:t>comp</w:t>
      </w:r>
      <w:r w:rsidRPr="00F955AA">
        <w:rPr>
          <w:sz w:val="20"/>
          <w:szCs w:val="20"/>
          <w:lang w:val="en-US"/>
        </w:rPr>
        <w:t xml:space="preserve">. </w:t>
      </w:r>
      <w:r>
        <w:rPr>
          <w:sz w:val="20"/>
          <w:szCs w:val="20"/>
          <w:lang w:val="en-US"/>
        </w:rPr>
        <w:t>Commission notice on the enforcement of State aid law by national courts,</w:t>
      </w:r>
      <w:r w:rsidRPr="00E66CF8">
        <w:rPr>
          <w:sz w:val="20"/>
          <w:szCs w:val="20"/>
        </w:rPr>
        <w:t xml:space="preserve"> </w:t>
      </w:r>
      <w:r>
        <w:rPr>
          <w:sz w:val="20"/>
          <w:szCs w:val="20"/>
        </w:rPr>
        <w:t>OJ</w:t>
      </w:r>
      <w:r w:rsidRPr="00E66CF8">
        <w:rPr>
          <w:sz w:val="20"/>
          <w:szCs w:val="20"/>
        </w:rPr>
        <w:t xml:space="preserve">. 2009 C 85, 1 </w:t>
      </w:r>
      <w:proofErr w:type="spellStart"/>
      <w:r>
        <w:rPr>
          <w:sz w:val="20"/>
          <w:szCs w:val="20"/>
        </w:rPr>
        <w:t>no</w:t>
      </w:r>
      <w:proofErr w:type="spellEnd"/>
      <w:r w:rsidRPr="00E66CF8">
        <w:rPr>
          <w:sz w:val="20"/>
          <w:szCs w:val="20"/>
        </w:rPr>
        <w:t>. 30.</w:t>
      </w:r>
    </w:p>
  </w:footnote>
  <w:footnote w:id="10">
    <w:p w14:paraId="429ED294" w14:textId="39CB225B" w:rsidR="00D13078" w:rsidRPr="004A48B6" w:rsidRDefault="00D13078" w:rsidP="00F955AA">
      <w:pPr>
        <w:suppressAutoHyphens/>
        <w:autoSpaceDE w:val="0"/>
        <w:autoSpaceDN w:val="0"/>
        <w:adjustRightInd w:val="0"/>
        <w:jc w:val="both"/>
        <w:rPr>
          <w:sz w:val="20"/>
          <w:szCs w:val="20"/>
          <w:lang w:val="en-US"/>
        </w:rPr>
      </w:pPr>
      <w:r w:rsidRPr="00E66CF8">
        <w:rPr>
          <w:rStyle w:val="Funotenzeichen"/>
          <w:sz w:val="20"/>
          <w:szCs w:val="20"/>
        </w:rPr>
        <w:footnoteRef/>
      </w:r>
      <w:r w:rsidRPr="00E66CF8">
        <w:rPr>
          <w:sz w:val="20"/>
          <w:szCs w:val="20"/>
        </w:rPr>
        <w:t xml:space="preserve"> </w:t>
      </w:r>
      <w:r>
        <w:rPr>
          <w:sz w:val="20"/>
          <w:szCs w:val="20"/>
        </w:rPr>
        <w:t>ECJ</w:t>
      </w:r>
      <w:r w:rsidRPr="00E66CF8">
        <w:rPr>
          <w:sz w:val="20"/>
          <w:szCs w:val="20"/>
        </w:rPr>
        <w:t xml:space="preserve"> </w:t>
      </w:r>
      <w:r>
        <w:rPr>
          <w:sz w:val="20"/>
          <w:szCs w:val="20"/>
        </w:rPr>
        <w:t>7/11/</w:t>
      </w:r>
      <w:r w:rsidRPr="00E66CF8">
        <w:rPr>
          <w:sz w:val="20"/>
          <w:szCs w:val="20"/>
        </w:rPr>
        <w:t xml:space="preserve">1996 – C-39/94, </w:t>
      </w:r>
      <w:r>
        <w:rPr>
          <w:sz w:val="20"/>
          <w:szCs w:val="20"/>
        </w:rPr>
        <w:t>ECR</w:t>
      </w:r>
      <w:r w:rsidRPr="00E66CF8">
        <w:rPr>
          <w:sz w:val="20"/>
          <w:szCs w:val="20"/>
        </w:rPr>
        <w:t xml:space="preserve"> 1996, I-3547 </w:t>
      </w:r>
      <w:proofErr w:type="spellStart"/>
      <w:r>
        <w:rPr>
          <w:sz w:val="20"/>
          <w:szCs w:val="20"/>
        </w:rPr>
        <w:t>no</w:t>
      </w:r>
      <w:proofErr w:type="spellEnd"/>
      <w:r w:rsidRPr="00E66CF8">
        <w:rPr>
          <w:sz w:val="20"/>
          <w:szCs w:val="20"/>
        </w:rPr>
        <w:t xml:space="preserve">. 68 – SFEI; </w:t>
      </w:r>
      <w:r>
        <w:rPr>
          <w:sz w:val="20"/>
          <w:szCs w:val="20"/>
        </w:rPr>
        <w:t>7/21/</w:t>
      </w:r>
      <w:r w:rsidRPr="00E66CF8">
        <w:rPr>
          <w:sz w:val="20"/>
          <w:szCs w:val="20"/>
        </w:rPr>
        <w:t xml:space="preserve">2005 – C-71/04, </w:t>
      </w:r>
      <w:r>
        <w:rPr>
          <w:sz w:val="20"/>
          <w:szCs w:val="20"/>
        </w:rPr>
        <w:t>ECR</w:t>
      </w:r>
      <w:r w:rsidRPr="00E66CF8">
        <w:rPr>
          <w:sz w:val="20"/>
          <w:szCs w:val="20"/>
        </w:rPr>
        <w:t xml:space="preserve"> 2005, I-7419 </w:t>
      </w:r>
      <w:proofErr w:type="spellStart"/>
      <w:r>
        <w:rPr>
          <w:sz w:val="20"/>
          <w:szCs w:val="20"/>
        </w:rPr>
        <w:t>no</w:t>
      </w:r>
      <w:proofErr w:type="spellEnd"/>
      <w:r w:rsidRPr="00E66CF8">
        <w:rPr>
          <w:sz w:val="20"/>
          <w:szCs w:val="20"/>
        </w:rPr>
        <w:t xml:space="preserve">. 49 – </w:t>
      </w:r>
      <w:proofErr w:type="spellStart"/>
      <w:r w:rsidRPr="00E66CF8">
        <w:rPr>
          <w:sz w:val="20"/>
          <w:szCs w:val="20"/>
        </w:rPr>
        <w:t>Xunta</w:t>
      </w:r>
      <w:proofErr w:type="spellEnd"/>
      <w:r w:rsidRPr="00E66CF8">
        <w:rPr>
          <w:sz w:val="20"/>
          <w:szCs w:val="20"/>
        </w:rPr>
        <w:t xml:space="preserve"> de </w:t>
      </w:r>
      <w:proofErr w:type="spellStart"/>
      <w:r w:rsidRPr="00E66CF8">
        <w:rPr>
          <w:sz w:val="20"/>
          <w:szCs w:val="20"/>
        </w:rPr>
        <w:t>Galicia</w:t>
      </w:r>
      <w:proofErr w:type="spellEnd"/>
      <w:r w:rsidRPr="00E66CF8">
        <w:rPr>
          <w:sz w:val="20"/>
          <w:szCs w:val="20"/>
        </w:rPr>
        <w:t xml:space="preserve">; </w:t>
      </w:r>
      <w:r>
        <w:rPr>
          <w:sz w:val="20"/>
          <w:szCs w:val="20"/>
        </w:rPr>
        <w:t>2/</w:t>
      </w:r>
      <w:r w:rsidRPr="00E66CF8">
        <w:rPr>
          <w:sz w:val="20"/>
          <w:szCs w:val="20"/>
        </w:rPr>
        <w:t>12</w:t>
      </w:r>
      <w:r>
        <w:rPr>
          <w:sz w:val="20"/>
          <w:szCs w:val="20"/>
        </w:rPr>
        <w:t>/</w:t>
      </w:r>
      <w:r w:rsidRPr="00E66CF8">
        <w:rPr>
          <w:sz w:val="20"/>
          <w:szCs w:val="20"/>
        </w:rPr>
        <w:t xml:space="preserve">2008 – C-199/06, </w:t>
      </w:r>
      <w:r>
        <w:rPr>
          <w:sz w:val="20"/>
          <w:szCs w:val="20"/>
        </w:rPr>
        <w:t>ECR</w:t>
      </w:r>
      <w:r w:rsidRPr="00E66CF8">
        <w:rPr>
          <w:sz w:val="20"/>
          <w:szCs w:val="20"/>
        </w:rPr>
        <w:t xml:space="preserve"> 2008, I-469 </w:t>
      </w:r>
      <w:proofErr w:type="spellStart"/>
      <w:r>
        <w:rPr>
          <w:sz w:val="20"/>
          <w:szCs w:val="20"/>
        </w:rPr>
        <w:t>no</w:t>
      </w:r>
      <w:proofErr w:type="spellEnd"/>
      <w:r w:rsidRPr="00E66CF8">
        <w:rPr>
          <w:sz w:val="20"/>
          <w:szCs w:val="20"/>
        </w:rPr>
        <w:t xml:space="preserve">. 39 – CELF I; </w:t>
      </w:r>
      <w:proofErr w:type="spellStart"/>
      <w:r>
        <w:rPr>
          <w:sz w:val="20"/>
          <w:szCs w:val="20"/>
        </w:rPr>
        <w:t>comp</w:t>
      </w:r>
      <w:r w:rsidRPr="00E66CF8">
        <w:rPr>
          <w:sz w:val="20"/>
          <w:szCs w:val="20"/>
        </w:rPr>
        <w:t>.</w:t>
      </w:r>
      <w:proofErr w:type="spellEnd"/>
      <w:r w:rsidRPr="00E66CF8">
        <w:rPr>
          <w:sz w:val="20"/>
          <w:szCs w:val="20"/>
        </w:rPr>
        <w:t xml:space="preserve"> E</w:t>
      </w:r>
      <w:r>
        <w:rPr>
          <w:sz w:val="20"/>
          <w:szCs w:val="20"/>
        </w:rPr>
        <w:t>CJ</w:t>
      </w:r>
      <w:r w:rsidRPr="00E66CF8">
        <w:rPr>
          <w:sz w:val="20"/>
          <w:szCs w:val="20"/>
        </w:rPr>
        <w:t xml:space="preserve"> </w:t>
      </w:r>
      <w:r>
        <w:rPr>
          <w:sz w:val="20"/>
          <w:szCs w:val="20"/>
        </w:rPr>
        <w:t>11/21/</w:t>
      </w:r>
      <w:r w:rsidRPr="00E66CF8">
        <w:rPr>
          <w:sz w:val="20"/>
          <w:szCs w:val="20"/>
        </w:rPr>
        <w:t xml:space="preserve">2013 – C-284/12, </w:t>
      </w:r>
      <w:r>
        <w:rPr>
          <w:sz w:val="20"/>
          <w:szCs w:val="20"/>
          <w:lang w:val="en-US"/>
        </w:rPr>
        <w:t>ECLI:EU:C:2013:755</w:t>
      </w:r>
      <w:r w:rsidRPr="00E66CF8">
        <w:rPr>
          <w:sz w:val="20"/>
          <w:szCs w:val="20"/>
        </w:rPr>
        <w:t xml:space="preserve"> </w:t>
      </w:r>
      <w:proofErr w:type="spellStart"/>
      <w:r>
        <w:rPr>
          <w:sz w:val="20"/>
          <w:szCs w:val="20"/>
        </w:rPr>
        <w:t>no</w:t>
      </w:r>
      <w:proofErr w:type="spellEnd"/>
      <w:r w:rsidRPr="00E66CF8">
        <w:rPr>
          <w:sz w:val="20"/>
          <w:szCs w:val="20"/>
        </w:rPr>
        <w:t>. 43 – Lufthansa; 4</w:t>
      </w:r>
      <w:r>
        <w:rPr>
          <w:sz w:val="20"/>
          <w:szCs w:val="20"/>
        </w:rPr>
        <w:t>/4/</w:t>
      </w:r>
      <w:r w:rsidRPr="00E66CF8">
        <w:rPr>
          <w:sz w:val="20"/>
          <w:szCs w:val="20"/>
        </w:rPr>
        <w:t xml:space="preserve">2014 – C-27/13, </w:t>
      </w:r>
      <w:r>
        <w:rPr>
          <w:sz w:val="20"/>
          <w:szCs w:val="20"/>
          <w:lang w:val="en-US"/>
        </w:rPr>
        <w:t xml:space="preserve">ECLI:EU:C:2014:240 </w:t>
      </w:r>
      <w:proofErr w:type="spellStart"/>
      <w:r>
        <w:rPr>
          <w:sz w:val="20"/>
          <w:szCs w:val="20"/>
        </w:rPr>
        <w:t>no</w:t>
      </w:r>
      <w:proofErr w:type="spellEnd"/>
      <w:r w:rsidRPr="00E66CF8">
        <w:rPr>
          <w:sz w:val="20"/>
          <w:szCs w:val="20"/>
        </w:rPr>
        <w:t xml:space="preserve">. 26 – Flughafen Lübeck; </w:t>
      </w:r>
      <w:proofErr w:type="spellStart"/>
      <w:r>
        <w:rPr>
          <w:sz w:val="20"/>
          <w:szCs w:val="20"/>
        </w:rPr>
        <w:t>comp</w:t>
      </w:r>
      <w:r w:rsidRPr="00E66CF8">
        <w:rPr>
          <w:sz w:val="20"/>
          <w:szCs w:val="20"/>
        </w:rPr>
        <w:t>.</w:t>
      </w:r>
      <w:proofErr w:type="spellEnd"/>
      <w:r w:rsidRPr="00E66CF8">
        <w:rPr>
          <w:sz w:val="20"/>
          <w:szCs w:val="20"/>
        </w:rPr>
        <w:t xml:space="preserve"> </w:t>
      </w:r>
      <w:proofErr w:type="spellStart"/>
      <w:r>
        <w:rPr>
          <w:sz w:val="20"/>
          <w:szCs w:val="20"/>
        </w:rPr>
        <w:t>Commission</w:t>
      </w:r>
      <w:proofErr w:type="spellEnd"/>
      <w:r>
        <w:rPr>
          <w:sz w:val="20"/>
          <w:szCs w:val="20"/>
        </w:rPr>
        <w:t xml:space="preserve"> </w:t>
      </w:r>
      <w:proofErr w:type="spellStart"/>
      <w:r>
        <w:rPr>
          <w:sz w:val="20"/>
          <w:szCs w:val="20"/>
        </w:rPr>
        <w:t>notice</w:t>
      </w:r>
      <w:proofErr w:type="spellEnd"/>
      <w:r>
        <w:rPr>
          <w:sz w:val="20"/>
          <w:szCs w:val="20"/>
        </w:rPr>
        <w:t xml:space="preserve"> on </w:t>
      </w:r>
      <w:proofErr w:type="spellStart"/>
      <w:r>
        <w:rPr>
          <w:sz w:val="20"/>
          <w:szCs w:val="20"/>
        </w:rPr>
        <w:t>the</w:t>
      </w:r>
      <w:proofErr w:type="spellEnd"/>
      <w:r>
        <w:rPr>
          <w:sz w:val="20"/>
          <w:szCs w:val="20"/>
        </w:rPr>
        <w:t xml:space="preserve"> </w:t>
      </w:r>
      <w:proofErr w:type="spellStart"/>
      <w:r>
        <w:rPr>
          <w:sz w:val="20"/>
          <w:szCs w:val="20"/>
        </w:rPr>
        <w:t>enforcement</w:t>
      </w:r>
      <w:proofErr w:type="spellEnd"/>
      <w:r>
        <w:rPr>
          <w:sz w:val="20"/>
          <w:szCs w:val="20"/>
        </w:rPr>
        <w:t xml:space="preserve"> </w:t>
      </w:r>
      <w:proofErr w:type="spellStart"/>
      <w:r>
        <w:rPr>
          <w:sz w:val="20"/>
          <w:szCs w:val="20"/>
        </w:rPr>
        <w:t>of</w:t>
      </w:r>
      <w:proofErr w:type="spellEnd"/>
      <w:r>
        <w:rPr>
          <w:sz w:val="20"/>
          <w:szCs w:val="20"/>
        </w:rPr>
        <w:t xml:space="preserve"> State </w:t>
      </w:r>
      <w:proofErr w:type="spellStart"/>
      <w:r>
        <w:rPr>
          <w:sz w:val="20"/>
          <w:szCs w:val="20"/>
        </w:rPr>
        <w:t>aid</w:t>
      </w:r>
      <w:proofErr w:type="spellEnd"/>
      <w:r>
        <w:rPr>
          <w:sz w:val="20"/>
          <w:szCs w:val="20"/>
        </w:rPr>
        <w:t xml:space="preserve"> </w:t>
      </w:r>
      <w:proofErr w:type="spellStart"/>
      <w:r>
        <w:rPr>
          <w:sz w:val="20"/>
          <w:szCs w:val="20"/>
        </w:rPr>
        <w:t>law</w:t>
      </w:r>
      <w:proofErr w:type="spellEnd"/>
      <w:r>
        <w:rPr>
          <w:sz w:val="20"/>
          <w:szCs w:val="20"/>
        </w:rPr>
        <w:t xml:space="preserve"> </w:t>
      </w:r>
      <w:proofErr w:type="spellStart"/>
      <w:r>
        <w:rPr>
          <w:sz w:val="20"/>
          <w:szCs w:val="20"/>
        </w:rPr>
        <w:t>by</w:t>
      </w:r>
      <w:proofErr w:type="spellEnd"/>
      <w:r>
        <w:rPr>
          <w:sz w:val="20"/>
          <w:szCs w:val="20"/>
        </w:rPr>
        <w:t xml:space="preserve"> national </w:t>
      </w:r>
      <w:proofErr w:type="spellStart"/>
      <w:r>
        <w:rPr>
          <w:sz w:val="20"/>
          <w:szCs w:val="20"/>
        </w:rPr>
        <w:t>courts</w:t>
      </w:r>
      <w:proofErr w:type="spellEnd"/>
      <w:r>
        <w:rPr>
          <w:sz w:val="20"/>
          <w:szCs w:val="20"/>
        </w:rPr>
        <w:t>,</w:t>
      </w:r>
      <w:r w:rsidRPr="00E66CF8">
        <w:rPr>
          <w:sz w:val="20"/>
          <w:szCs w:val="20"/>
        </w:rPr>
        <w:t xml:space="preserve"> </w:t>
      </w:r>
      <w:proofErr w:type="spellStart"/>
      <w:r>
        <w:rPr>
          <w:sz w:val="20"/>
          <w:szCs w:val="20"/>
        </w:rPr>
        <w:t>no</w:t>
      </w:r>
      <w:proofErr w:type="spellEnd"/>
      <w:r w:rsidRPr="00E66CF8">
        <w:rPr>
          <w:sz w:val="20"/>
          <w:szCs w:val="20"/>
        </w:rPr>
        <w:t xml:space="preserve">. 30; </w:t>
      </w:r>
      <w:proofErr w:type="spellStart"/>
      <w:r w:rsidRPr="00E66CF8">
        <w:rPr>
          <w:i/>
          <w:sz w:val="20"/>
          <w:szCs w:val="20"/>
        </w:rPr>
        <w:t>Rusche</w:t>
      </w:r>
      <w:proofErr w:type="spellEnd"/>
      <w:r w:rsidRPr="004A48B6">
        <w:rPr>
          <w:sz w:val="20"/>
          <w:szCs w:val="20"/>
          <w:lang w:val="en-US"/>
        </w:rPr>
        <w:t xml:space="preserve">, in </w:t>
      </w:r>
      <w:proofErr w:type="spellStart"/>
      <w:r w:rsidRPr="004A48B6">
        <w:rPr>
          <w:sz w:val="20"/>
          <w:szCs w:val="20"/>
          <w:lang w:val="en-US"/>
        </w:rPr>
        <w:t>Immenga</w:t>
      </w:r>
      <w:proofErr w:type="spellEnd"/>
      <w:r w:rsidRPr="004A48B6">
        <w:rPr>
          <w:sz w:val="20"/>
          <w:szCs w:val="20"/>
          <w:lang w:val="en-US"/>
        </w:rPr>
        <w:t>/</w:t>
      </w:r>
      <w:proofErr w:type="spellStart"/>
      <w:r w:rsidRPr="004A48B6">
        <w:rPr>
          <w:sz w:val="20"/>
          <w:szCs w:val="20"/>
          <w:lang w:val="en-US"/>
        </w:rPr>
        <w:t>Mestmäcker</w:t>
      </w:r>
      <w:proofErr w:type="spellEnd"/>
      <w:r w:rsidRPr="004A48B6">
        <w:rPr>
          <w:sz w:val="20"/>
          <w:szCs w:val="20"/>
          <w:lang w:val="en-US"/>
        </w:rPr>
        <w:t xml:space="preserve">, </w:t>
      </w:r>
      <w:proofErr w:type="spellStart"/>
      <w:r w:rsidRPr="004A48B6">
        <w:rPr>
          <w:sz w:val="20"/>
          <w:szCs w:val="20"/>
          <w:lang w:val="en-US"/>
        </w:rPr>
        <w:t>Wettbewerbsrecht</w:t>
      </w:r>
      <w:proofErr w:type="spellEnd"/>
      <w:r w:rsidRPr="004A48B6">
        <w:rPr>
          <w:sz w:val="20"/>
          <w:szCs w:val="20"/>
          <w:lang w:val="en-US"/>
        </w:rPr>
        <w:t xml:space="preserve"> vol. </w:t>
      </w:r>
      <w:proofErr w:type="gramStart"/>
      <w:r w:rsidRPr="004A48B6">
        <w:rPr>
          <w:sz w:val="20"/>
          <w:szCs w:val="20"/>
          <w:lang w:val="en-US"/>
        </w:rPr>
        <w:t>3, 5</w:t>
      </w:r>
      <w:r w:rsidRPr="004A48B6">
        <w:rPr>
          <w:sz w:val="20"/>
          <w:szCs w:val="20"/>
          <w:vertAlign w:val="superscript"/>
          <w:lang w:val="en-US"/>
        </w:rPr>
        <w:t>th</w:t>
      </w:r>
      <w:r>
        <w:rPr>
          <w:sz w:val="20"/>
          <w:szCs w:val="20"/>
          <w:lang w:val="en-US"/>
        </w:rPr>
        <w:t xml:space="preserve"> </w:t>
      </w:r>
      <w:r w:rsidRPr="004A48B6">
        <w:rPr>
          <w:sz w:val="20"/>
          <w:szCs w:val="20"/>
          <w:lang w:val="en-US"/>
        </w:rPr>
        <w:t>ed. 2016, Sect. II.</w:t>
      </w:r>
      <w:proofErr w:type="gramEnd"/>
      <w:r w:rsidRPr="004A48B6">
        <w:rPr>
          <w:sz w:val="20"/>
          <w:szCs w:val="20"/>
          <w:lang w:val="en-US"/>
        </w:rPr>
        <w:t xml:space="preserve"> B., Art. 13 2015/1589 no. 4.</w:t>
      </w:r>
    </w:p>
  </w:footnote>
  <w:footnote w:id="11">
    <w:p w14:paraId="1D909306" w14:textId="4D1DF15B" w:rsidR="00D13078" w:rsidRPr="006D787A" w:rsidRDefault="00D13078" w:rsidP="006D787A">
      <w:pPr>
        <w:pStyle w:val="Funotentext"/>
        <w:jc w:val="both"/>
        <w:rPr>
          <w:rFonts w:ascii="Times New Roman" w:hAnsi="Times New Roman" w:cs="Times New Roman"/>
          <w:sz w:val="20"/>
          <w:szCs w:val="20"/>
        </w:rPr>
      </w:pPr>
      <w:r w:rsidRPr="004A48B6">
        <w:rPr>
          <w:rStyle w:val="Funotenzeichen"/>
          <w:rFonts w:ascii="Times New Roman" w:hAnsi="Times New Roman" w:cs="Times New Roman"/>
          <w:sz w:val="20"/>
          <w:szCs w:val="20"/>
          <w:lang w:val="en-US"/>
        </w:rPr>
        <w:footnoteRef/>
      </w:r>
      <w:r w:rsidRPr="004A48B6">
        <w:rPr>
          <w:rFonts w:ascii="Times New Roman" w:hAnsi="Times New Roman" w:cs="Times New Roman"/>
          <w:sz w:val="20"/>
          <w:szCs w:val="20"/>
          <w:lang w:val="en-US"/>
        </w:rPr>
        <w:t xml:space="preserve"> ECJ 3/22.1977 – 78/76, ECR 1977, 595 no. 9 – </w:t>
      </w:r>
      <w:proofErr w:type="spellStart"/>
      <w:r w:rsidRPr="004A48B6">
        <w:rPr>
          <w:rFonts w:ascii="Times New Roman" w:hAnsi="Times New Roman" w:cs="Times New Roman"/>
          <w:sz w:val="20"/>
          <w:szCs w:val="20"/>
          <w:lang w:val="en-US"/>
        </w:rPr>
        <w:t>Steinike</w:t>
      </w:r>
      <w:proofErr w:type="spellEnd"/>
      <w:r w:rsidRPr="004A48B6">
        <w:rPr>
          <w:rFonts w:ascii="Times New Roman" w:hAnsi="Times New Roman" w:cs="Times New Roman"/>
          <w:sz w:val="20"/>
          <w:szCs w:val="20"/>
          <w:lang w:val="en-US"/>
        </w:rPr>
        <w:t xml:space="preserve"> </w:t>
      </w:r>
      <w:r>
        <w:rPr>
          <w:rFonts w:ascii="Times New Roman" w:hAnsi="Times New Roman" w:cs="Times New Roman"/>
          <w:sz w:val="20"/>
          <w:szCs w:val="20"/>
          <w:lang w:val="en-US"/>
        </w:rPr>
        <w:t>&amp;</w:t>
      </w:r>
      <w:r w:rsidRPr="004A48B6">
        <w:rPr>
          <w:rFonts w:ascii="Times New Roman" w:hAnsi="Times New Roman" w:cs="Times New Roman"/>
          <w:sz w:val="20"/>
          <w:szCs w:val="20"/>
          <w:lang w:val="en-US"/>
        </w:rPr>
        <w:t xml:space="preserve"> </w:t>
      </w:r>
      <w:proofErr w:type="spellStart"/>
      <w:r w:rsidRPr="004A48B6">
        <w:rPr>
          <w:rFonts w:ascii="Times New Roman" w:hAnsi="Times New Roman" w:cs="Times New Roman"/>
          <w:sz w:val="20"/>
          <w:szCs w:val="20"/>
          <w:lang w:val="en-US"/>
        </w:rPr>
        <w:t>Weinlig</w:t>
      </w:r>
      <w:proofErr w:type="spellEnd"/>
      <w:r w:rsidRPr="004A48B6">
        <w:rPr>
          <w:rFonts w:ascii="Times New Roman" w:hAnsi="Times New Roman" w:cs="Times New Roman"/>
          <w:sz w:val="20"/>
          <w:szCs w:val="20"/>
          <w:lang w:val="en-US"/>
        </w:rPr>
        <w:t>; 11/21/1991 – C-354/90, ECR 1991,</w:t>
      </w:r>
      <w:r w:rsidRPr="00E66CF8">
        <w:rPr>
          <w:rFonts w:ascii="Times New Roman" w:hAnsi="Times New Roman" w:cs="Times New Roman"/>
          <w:sz w:val="20"/>
          <w:szCs w:val="20"/>
        </w:rPr>
        <w:t xml:space="preserve"> I-5505 </w:t>
      </w:r>
      <w:r>
        <w:rPr>
          <w:rFonts w:ascii="Times New Roman" w:hAnsi="Times New Roman" w:cs="Times New Roman"/>
          <w:sz w:val="20"/>
          <w:szCs w:val="20"/>
        </w:rPr>
        <w:t>nos</w:t>
      </w:r>
      <w:r w:rsidRPr="00E66CF8">
        <w:rPr>
          <w:rFonts w:ascii="Times New Roman" w:hAnsi="Times New Roman" w:cs="Times New Roman"/>
          <w:sz w:val="20"/>
          <w:szCs w:val="20"/>
        </w:rPr>
        <w:t xml:space="preserve">. 9, 14 – FNCE; </w:t>
      </w:r>
      <w:r>
        <w:rPr>
          <w:rFonts w:ascii="Times New Roman" w:hAnsi="Times New Roman" w:cs="Times New Roman"/>
          <w:sz w:val="20"/>
          <w:szCs w:val="20"/>
        </w:rPr>
        <w:t>12/16/</w:t>
      </w:r>
      <w:r w:rsidRPr="00E66CF8">
        <w:rPr>
          <w:rFonts w:ascii="Times New Roman" w:hAnsi="Times New Roman" w:cs="Times New Roman"/>
          <w:sz w:val="20"/>
          <w:szCs w:val="20"/>
        </w:rPr>
        <w:t xml:space="preserve">1992 – C-144/91 </w:t>
      </w:r>
      <w:r>
        <w:rPr>
          <w:rFonts w:ascii="Times New Roman" w:hAnsi="Times New Roman" w:cs="Times New Roman"/>
          <w:sz w:val="20"/>
          <w:szCs w:val="20"/>
        </w:rPr>
        <w:t>et al.</w:t>
      </w:r>
      <w:r w:rsidRPr="00E66CF8">
        <w:rPr>
          <w:rFonts w:ascii="Times New Roman" w:hAnsi="Times New Roman" w:cs="Times New Roman"/>
          <w:sz w:val="20"/>
          <w:szCs w:val="20"/>
        </w:rPr>
        <w:t xml:space="preserve">, </w:t>
      </w:r>
      <w:r>
        <w:rPr>
          <w:rFonts w:ascii="Times New Roman" w:hAnsi="Times New Roman" w:cs="Times New Roman"/>
          <w:sz w:val="20"/>
          <w:szCs w:val="20"/>
        </w:rPr>
        <w:t>ECR</w:t>
      </w:r>
      <w:r w:rsidRPr="00E66CF8">
        <w:rPr>
          <w:rFonts w:ascii="Times New Roman" w:hAnsi="Times New Roman" w:cs="Times New Roman"/>
          <w:sz w:val="20"/>
          <w:szCs w:val="20"/>
        </w:rPr>
        <w:t xml:space="preserve"> 1992, I-6613 </w:t>
      </w:r>
      <w:proofErr w:type="spellStart"/>
      <w:r>
        <w:rPr>
          <w:rFonts w:ascii="Times New Roman" w:hAnsi="Times New Roman" w:cs="Times New Roman"/>
          <w:sz w:val="20"/>
          <w:szCs w:val="20"/>
        </w:rPr>
        <w:t>no</w:t>
      </w:r>
      <w:proofErr w:type="spellEnd"/>
      <w:r w:rsidRPr="00E66CF8">
        <w:rPr>
          <w:rFonts w:ascii="Times New Roman" w:hAnsi="Times New Roman" w:cs="Times New Roman"/>
          <w:sz w:val="20"/>
          <w:szCs w:val="20"/>
        </w:rPr>
        <w:t xml:space="preserve">. 26 – </w:t>
      </w:r>
      <w:proofErr w:type="spellStart"/>
      <w:r w:rsidRPr="00E66CF8">
        <w:rPr>
          <w:rFonts w:ascii="Times New Roman" w:hAnsi="Times New Roman" w:cs="Times New Roman"/>
          <w:sz w:val="20"/>
          <w:szCs w:val="20"/>
        </w:rPr>
        <w:t>Demoor</w:t>
      </w:r>
      <w:proofErr w:type="spellEnd"/>
      <w:r w:rsidRPr="00E66CF8">
        <w:rPr>
          <w:rFonts w:ascii="Times New Roman" w:hAnsi="Times New Roman" w:cs="Times New Roman"/>
          <w:sz w:val="20"/>
          <w:szCs w:val="20"/>
        </w:rPr>
        <w:t xml:space="preserve">; </w:t>
      </w:r>
      <w:r>
        <w:rPr>
          <w:rFonts w:ascii="Times New Roman" w:hAnsi="Times New Roman" w:cs="Times New Roman"/>
          <w:sz w:val="20"/>
          <w:szCs w:val="20"/>
        </w:rPr>
        <w:t>2/12/</w:t>
      </w:r>
      <w:r w:rsidRPr="00E66CF8">
        <w:rPr>
          <w:rFonts w:ascii="Times New Roman" w:hAnsi="Times New Roman" w:cs="Times New Roman"/>
          <w:sz w:val="20"/>
          <w:szCs w:val="20"/>
        </w:rPr>
        <w:t xml:space="preserve">2008 – C-199/06, </w:t>
      </w:r>
      <w:r>
        <w:rPr>
          <w:rFonts w:ascii="Times New Roman" w:hAnsi="Times New Roman" w:cs="Times New Roman"/>
          <w:sz w:val="20"/>
          <w:szCs w:val="20"/>
        </w:rPr>
        <w:t>ECR</w:t>
      </w:r>
      <w:r w:rsidRPr="00E66CF8">
        <w:rPr>
          <w:rFonts w:ascii="Times New Roman" w:hAnsi="Times New Roman" w:cs="Times New Roman"/>
          <w:sz w:val="20"/>
          <w:szCs w:val="20"/>
        </w:rPr>
        <w:t xml:space="preserve"> 2008, I-469 </w:t>
      </w:r>
      <w:proofErr w:type="spellStart"/>
      <w:r>
        <w:rPr>
          <w:rFonts w:ascii="Times New Roman" w:hAnsi="Times New Roman" w:cs="Times New Roman"/>
          <w:sz w:val="20"/>
          <w:szCs w:val="20"/>
        </w:rPr>
        <w:t>no</w:t>
      </w:r>
      <w:proofErr w:type="spellEnd"/>
      <w:r w:rsidRPr="00E66CF8">
        <w:rPr>
          <w:rFonts w:ascii="Times New Roman" w:hAnsi="Times New Roman" w:cs="Times New Roman"/>
          <w:sz w:val="20"/>
          <w:szCs w:val="20"/>
        </w:rPr>
        <w:t xml:space="preserve">. 38 – CELF I; </w:t>
      </w:r>
      <w:proofErr w:type="spellStart"/>
      <w:r w:rsidRPr="006D787A">
        <w:rPr>
          <w:rFonts w:ascii="Times New Roman" w:hAnsi="Times New Roman" w:cs="Times New Roman"/>
          <w:sz w:val="20"/>
          <w:szCs w:val="20"/>
        </w:rPr>
        <w:t>Commission</w:t>
      </w:r>
      <w:proofErr w:type="spellEnd"/>
      <w:r w:rsidRPr="006D787A">
        <w:rPr>
          <w:rFonts w:ascii="Times New Roman" w:hAnsi="Times New Roman" w:cs="Times New Roman"/>
          <w:sz w:val="20"/>
          <w:szCs w:val="20"/>
        </w:rPr>
        <w:t xml:space="preserve"> </w:t>
      </w:r>
      <w:proofErr w:type="spellStart"/>
      <w:r w:rsidRPr="006D787A">
        <w:rPr>
          <w:rFonts w:ascii="Times New Roman" w:hAnsi="Times New Roman" w:cs="Times New Roman"/>
          <w:sz w:val="20"/>
          <w:szCs w:val="20"/>
        </w:rPr>
        <w:t>notice</w:t>
      </w:r>
      <w:proofErr w:type="spellEnd"/>
      <w:r w:rsidRPr="006D787A">
        <w:rPr>
          <w:rFonts w:ascii="Times New Roman" w:hAnsi="Times New Roman" w:cs="Times New Roman"/>
          <w:sz w:val="20"/>
          <w:szCs w:val="20"/>
        </w:rPr>
        <w:t xml:space="preserve"> on </w:t>
      </w:r>
      <w:proofErr w:type="spellStart"/>
      <w:r w:rsidRPr="006D787A">
        <w:rPr>
          <w:rFonts w:ascii="Times New Roman" w:hAnsi="Times New Roman" w:cs="Times New Roman"/>
          <w:sz w:val="20"/>
          <w:szCs w:val="20"/>
        </w:rPr>
        <w:t>the</w:t>
      </w:r>
      <w:proofErr w:type="spellEnd"/>
      <w:r w:rsidRPr="006D787A">
        <w:rPr>
          <w:rFonts w:ascii="Times New Roman" w:hAnsi="Times New Roman" w:cs="Times New Roman"/>
          <w:sz w:val="20"/>
          <w:szCs w:val="20"/>
        </w:rPr>
        <w:t xml:space="preserve"> </w:t>
      </w:r>
      <w:proofErr w:type="spellStart"/>
      <w:r w:rsidRPr="006D787A">
        <w:rPr>
          <w:rFonts w:ascii="Times New Roman" w:hAnsi="Times New Roman" w:cs="Times New Roman"/>
          <w:sz w:val="20"/>
          <w:szCs w:val="20"/>
        </w:rPr>
        <w:t>enforcement</w:t>
      </w:r>
      <w:proofErr w:type="spellEnd"/>
      <w:r w:rsidRPr="006D787A">
        <w:rPr>
          <w:rFonts w:ascii="Times New Roman" w:hAnsi="Times New Roman" w:cs="Times New Roman"/>
          <w:sz w:val="20"/>
          <w:szCs w:val="20"/>
        </w:rPr>
        <w:t xml:space="preserve"> </w:t>
      </w:r>
      <w:proofErr w:type="spellStart"/>
      <w:r w:rsidRPr="006D787A">
        <w:rPr>
          <w:rFonts w:ascii="Times New Roman" w:hAnsi="Times New Roman" w:cs="Times New Roman"/>
          <w:sz w:val="20"/>
          <w:szCs w:val="20"/>
        </w:rPr>
        <w:t>of</w:t>
      </w:r>
      <w:proofErr w:type="spellEnd"/>
      <w:r w:rsidRPr="006D787A">
        <w:rPr>
          <w:rFonts w:ascii="Times New Roman" w:hAnsi="Times New Roman" w:cs="Times New Roman"/>
          <w:sz w:val="20"/>
          <w:szCs w:val="20"/>
        </w:rPr>
        <w:t xml:space="preserve"> State </w:t>
      </w:r>
      <w:proofErr w:type="spellStart"/>
      <w:r w:rsidRPr="006D787A">
        <w:rPr>
          <w:rFonts w:ascii="Times New Roman" w:hAnsi="Times New Roman" w:cs="Times New Roman"/>
          <w:sz w:val="20"/>
          <w:szCs w:val="20"/>
        </w:rPr>
        <w:t>aid</w:t>
      </w:r>
      <w:proofErr w:type="spellEnd"/>
      <w:r w:rsidRPr="006D787A">
        <w:rPr>
          <w:rFonts w:ascii="Times New Roman" w:hAnsi="Times New Roman" w:cs="Times New Roman"/>
          <w:sz w:val="20"/>
          <w:szCs w:val="20"/>
        </w:rPr>
        <w:t xml:space="preserve"> </w:t>
      </w:r>
      <w:proofErr w:type="spellStart"/>
      <w:r w:rsidRPr="006D787A">
        <w:rPr>
          <w:rFonts w:ascii="Times New Roman" w:hAnsi="Times New Roman" w:cs="Times New Roman"/>
          <w:sz w:val="20"/>
          <w:szCs w:val="20"/>
        </w:rPr>
        <w:t>law</w:t>
      </w:r>
      <w:proofErr w:type="spellEnd"/>
      <w:r w:rsidRPr="006D787A">
        <w:rPr>
          <w:rFonts w:ascii="Times New Roman" w:hAnsi="Times New Roman" w:cs="Times New Roman"/>
          <w:sz w:val="20"/>
          <w:szCs w:val="20"/>
        </w:rPr>
        <w:t xml:space="preserve"> </w:t>
      </w:r>
      <w:proofErr w:type="spellStart"/>
      <w:r w:rsidRPr="006D787A">
        <w:rPr>
          <w:rFonts w:ascii="Times New Roman" w:hAnsi="Times New Roman" w:cs="Times New Roman"/>
          <w:sz w:val="20"/>
          <w:szCs w:val="20"/>
        </w:rPr>
        <w:t>by</w:t>
      </w:r>
      <w:proofErr w:type="spellEnd"/>
      <w:r w:rsidRPr="006D787A">
        <w:rPr>
          <w:rFonts w:ascii="Times New Roman" w:hAnsi="Times New Roman" w:cs="Times New Roman"/>
          <w:sz w:val="20"/>
          <w:szCs w:val="20"/>
        </w:rPr>
        <w:t xml:space="preserve"> national </w:t>
      </w:r>
      <w:proofErr w:type="spellStart"/>
      <w:r w:rsidRPr="006D787A">
        <w:rPr>
          <w:rFonts w:ascii="Times New Roman" w:hAnsi="Times New Roman" w:cs="Times New Roman"/>
          <w:sz w:val="20"/>
          <w:szCs w:val="20"/>
        </w:rPr>
        <w:t>courts</w:t>
      </w:r>
      <w:proofErr w:type="spellEnd"/>
      <w:r>
        <w:rPr>
          <w:rFonts w:ascii="Times New Roman" w:hAnsi="Times New Roman" w:cs="Times New Roman"/>
          <w:sz w:val="20"/>
          <w:szCs w:val="20"/>
        </w:rPr>
        <w:t>,</w:t>
      </w:r>
      <w:r w:rsidRPr="006D787A">
        <w:rPr>
          <w:rFonts w:ascii="Times New Roman" w:hAnsi="Times New Roman" w:cs="Times New Roman"/>
          <w:sz w:val="20"/>
          <w:szCs w:val="20"/>
        </w:rPr>
        <w:t xml:space="preserve"> </w:t>
      </w:r>
      <w:proofErr w:type="spellStart"/>
      <w:r>
        <w:rPr>
          <w:rFonts w:ascii="Times New Roman" w:hAnsi="Times New Roman" w:cs="Times New Roman"/>
          <w:sz w:val="20"/>
          <w:szCs w:val="20"/>
        </w:rPr>
        <w:t>no</w:t>
      </w:r>
      <w:proofErr w:type="spellEnd"/>
      <w:r w:rsidRPr="006D787A">
        <w:rPr>
          <w:rFonts w:ascii="Times New Roman" w:hAnsi="Times New Roman" w:cs="Times New Roman"/>
          <w:sz w:val="20"/>
          <w:szCs w:val="20"/>
        </w:rPr>
        <w:t>. 20.</w:t>
      </w:r>
    </w:p>
  </w:footnote>
  <w:footnote w:id="12">
    <w:p w14:paraId="5AA095AB" w14:textId="40F1C2AB" w:rsidR="00D13078" w:rsidRPr="00E66CF8" w:rsidRDefault="00D13078" w:rsidP="006D787A">
      <w:pPr>
        <w:pStyle w:val="Funotentext"/>
        <w:suppressAutoHyphens/>
        <w:jc w:val="both"/>
        <w:rPr>
          <w:rFonts w:ascii="Times New Roman" w:hAnsi="Times New Roman" w:cs="Times New Roman"/>
          <w:sz w:val="20"/>
          <w:szCs w:val="20"/>
        </w:rPr>
      </w:pPr>
      <w:r w:rsidRPr="00E66CF8">
        <w:rPr>
          <w:rStyle w:val="Funotenzeichen"/>
          <w:rFonts w:ascii="Times New Roman" w:hAnsi="Times New Roman" w:cs="Times New Roman"/>
          <w:sz w:val="20"/>
          <w:szCs w:val="20"/>
        </w:rPr>
        <w:footnoteRef/>
      </w:r>
      <w:r w:rsidRPr="00E66CF8">
        <w:rPr>
          <w:rFonts w:ascii="Times New Roman" w:hAnsi="Times New Roman" w:cs="Times New Roman"/>
          <w:sz w:val="20"/>
          <w:szCs w:val="20"/>
        </w:rPr>
        <w:t xml:space="preserve"> </w:t>
      </w:r>
      <w:r>
        <w:rPr>
          <w:rFonts w:ascii="Times New Roman" w:hAnsi="Times New Roman" w:cs="Times New Roman"/>
          <w:sz w:val="20"/>
          <w:szCs w:val="20"/>
        </w:rPr>
        <w:t>ECR</w:t>
      </w:r>
      <w:r w:rsidRPr="00E66CF8">
        <w:rPr>
          <w:rFonts w:ascii="Times New Roman" w:hAnsi="Times New Roman" w:cs="Times New Roman"/>
          <w:sz w:val="20"/>
          <w:szCs w:val="20"/>
        </w:rPr>
        <w:t xml:space="preserve"> </w:t>
      </w:r>
      <w:r>
        <w:rPr>
          <w:rFonts w:ascii="Times New Roman" w:hAnsi="Times New Roman" w:cs="Times New Roman"/>
          <w:sz w:val="20"/>
          <w:szCs w:val="20"/>
        </w:rPr>
        <w:t>07/11/</w:t>
      </w:r>
      <w:r w:rsidRPr="00E66CF8">
        <w:rPr>
          <w:rFonts w:ascii="Times New Roman" w:hAnsi="Times New Roman" w:cs="Times New Roman"/>
          <w:sz w:val="20"/>
          <w:szCs w:val="20"/>
        </w:rPr>
        <w:t xml:space="preserve">1996 – C-39/94, </w:t>
      </w:r>
      <w:r>
        <w:rPr>
          <w:rFonts w:ascii="Times New Roman" w:hAnsi="Times New Roman" w:cs="Times New Roman"/>
          <w:sz w:val="20"/>
          <w:szCs w:val="20"/>
        </w:rPr>
        <w:t>ECR</w:t>
      </w:r>
      <w:r w:rsidRPr="00E66CF8">
        <w:rPr>
          <w:rFonts w:ascii="Times New Roman" w:hAnsi="Times New Roman" w:cs="Times New Roman"/>
          <w:sz w:val="20"/>
          <w:szCs w:val="20"/>
        </w:rPr>
        <w:t xml:space="preserve"> 1996, I-3547 </w:t>
      </w:r>
      <w:proofErr w:type="spellStart"/>
      <w:r>
        <w:rPr>
          <w:rFonts w:ascii="Times New Roman" w:hAnsi="Times New Roman" w:cs="Times New Roman"/>
          <w:sz w:val="20"/>
          <w:szCs w:val="20"/>
        </w:rPr>
        <w:t>no</w:t>
      </w:r>
      <w:proofErr w:type="spellEnd"/>
      <w:r w:rsidRPr="00E66CF8">
        <w:rPr>
          <w:rFonts w:ascii="Times New Roman" w:hAnsi="Times New Roman" w:cs="Times New Roman"/>
          <w:sz w:val="20"/>
          <w:szCs w:val="20"/>
        </w:rPr>
        <w:t xml:space="preserve">. 75 – SFEI; </w:t>
      </w:r>
      <w:r>
        <w:rPr>
          <w:rFonts w:ascii="Times New Roman" w:hAnsi="Times New Roman" w:cs="Times New Roman"/>
          <w:sz w:val="20"/>
          <w:szCs w:val="20"/>
        </w:rPr>
        <w:t>10/5/</w:t>
      </w:r>
      <w:r w:rsidRPr="00E66CF8">
        <w:rPr>
          <w:rFonts w:ascii="Times New Roman" w:hAnsi="Times New Roman" w:cs="Times New Roman"/>
          <w:sz w:val="20"/>
          <w:szCs w:val="20"/>
        </w:rPr>
        <w:t xml:space="preserve">2006 – C-368/04, </w:t>
      </w:r>
      <w:r>
        <w:rPr>
          <w:rFonts w:ascii="Times New Roman" w:hAnsi="Times New Roman" w:cs="Times New Roman"/>
          <w:sz w:val="20"/>
          <w:szCs w:val="20"/>
        </w:rPr>
        <w:t>ECR</w:t>
      </w:r>
      <w:r w:rsidRPr="00E66CF8">
        <w:rPr>
          <w:rFonts w:ascii="Times New Roman" w:hAnsi="Times New Roman" w:cs="Times New Roman"/>
          <w:sz w:val="20"/>
          <w:szCs w:val="20"/>
        </w:rPr>
        <w:t xml:space="preserve"> 2006, I-9957 </w:t>
      </w:r>
      <w:proofErr w:type="spellStart"/>
      <w:r>
        <w:rPr>
          <w:rFonts w:ascii="Times New Roman" w:hAnsi="Times New Roman" w:cs="Times New Roman"/>
          <w:sz w:val="20"/>
          <w:szCs w:val="20"/>
        </w:rPr>
        <w:t>no</w:t>
      </w:r>
      <w:proofErr w:type="spellEnd"/>
      <w:r w:rsidRPr="00E66CF8">
        <w:rPr>
          <w:rFonts w:ascii="Times New Roman" w:hAnsi="Times New Roman" w:cs="Times New Roman"/>
          <w:sz w:val="20"/>
          <w:szCs w:val="20"/>
        </w:rPr>
        <w:t>.</w:t>
      </w:r>
      <w:r>
        <w:rPr>
          <w:rFonts w:ascii="Times New Roman" w:hAnsi="Times New Roman" w:cs="Times New Roman"/>
          <w:sz w:val="20"/>
          <w:szCs w:val="20"/>
        </w:rPr>
        <w:t> </w:t>
      </w:r>
      <w:r w:rsidRPr="00E66CF8">
        <w:rPr>
          <w:rFonts w:ascii="Times New Roman" w:hAnsi="Times New Roman" w:cs="Times New Roman"/>
          <w:sz w:val="20"/>
          <w:szCs w:val="20"/>
        </w:rPr>
        <w:t xml:space="preserve">56 – Transalpine Ölleitung in Österreich; </w:t>
      </w:r>
      <w:r>
        <w:rPr>
          <w:rFonts w:ascii="Times New Roman" w:hAnsi="Times New Roman" w:cs="Times New Roman"/>
          <w:sz w:val="20"/>
          <w:szCs w:val="20"/>
        </w:rPr>
        <w:t>2/12/</w:t>
      </w:r>
      <w:r w:rsidRPr="00E66CF8">
        <w:rPr>
          <w:rFonts w:ascii="Times New Roman" w:hAnsi="Times New Roman" w:cs="Times New Roman"/>
          <w:sz w:val="20"/>
          <w:szCs w:val="20"/>
        </w:rPr>
        <w:t xml:space="preserve">2008 – C-199/06, </w:t>
      </w:r>
      <w:r>
        <w:rPr>
          <w:rFonts w:ascii="Times New Roman" w:hAnsi="Times New Roman" w:cs="Times New Roman"/>
          <w:sz w:val="20"/>
          <w:szCs w:val="20"/>
        </w:rPr>
        <w:t>ECR</w:t>
      </w:r>
      <w:r w:rsidRPr="00E66CF8">
        <w:rPr>
          <w:rFonts w:ascii="Times New Roman" w:hAnsi="Times New Roman" w:cs="Times New Roman"/>
          <w:sz w:val="20"/>
          <w:szCs w:val="20"/>
        </w:rPr>
        <w:t xml:space="preserve"> 2008, I-469 </w:t>
      </w:r>
      <w:proofErr w:type="spellStart"/>
      <w:r>
        <w:rPr>
          <w:rFonts w:ascii="Times New Roman" w:hAnsi="Times New Roman" w:cs="Times New Roman"/>
          <w:sz w:val="20"/>
          <w:szCs w:val="20"/>
        </w:rPr>
        <w:t>no</w:t>
      </w:r>
      <w:proofErr w:type="spellEnd"/>
      <w:r w:rsidRPr="00E66CF8">
        <w:rPr>
          <w:rFonts w:ascii="Times New Roman" w:hAnsi="Times New Roman" w:cs="Times New Roman"/>
          <w:sz w:val="20"/>
          <w:szCs w:val="20"/>
        </w:rPr>
        <w:t xml:space="preserve">. 53 – CELF I; </w:t>
      </w:r>
      <w:proofErr w:type="spellStart"/>
      <w:r w:rsidRPr="006D787A">
        <w:rPr>
          <w:rFonts w:ascii="Times New Roman" w:hAnsi="Times New Roman" w:cs="Times New Roman"/>
          <w:sz w:val="20"/>
          <w:szCs w:val="20"/>
        </w:rPr>
        <w:t>Commission</w:t>
      </w:r>
      <w:proofErr w:type="spellEnd"/>
      <w:r w:rsidRPr="006D787A">
        <w:rPr>
          <w:rFonts w:ascii="Times New Roman" w:hAnsi="Times New Roman" w:cs="Times New Roman"/>
          <w:sz w:val="20"/>
          <w:szCs w:val="20"/>
        </w:rPr>
        <w:t xml:space="preserve"> </w:t>
      </w:r>
      <w:proofErr w:type="spellStart"/>
      <w:r w:rsidRPr="006D787A">
        <w:rPr>
          <w:rFonts w:ascii="Times New Roman" w:hAnsi="Times New Roman" w:cs="Times New Roman"/>
          <w:sz w:val="20"/>
          <w:szCs w:val="20"/>
        </w:rPr>
        <w:t>notice</w:t>
      </w:r>
      <w:proofErr w:type="spellEnd"/>
      <w:r w:rsidRPr="006D787A">
        <w:rPr>
          <w:rFonts w:ascii="Times New Roman" w:hAnsi="Times New Roman" w:cs="Times New Roman"/>
          <w:sz w:val="20"/>
          <w:szCs w:val="20"/>
        </w:rPr>
        <w:t xml:space="preserve"> on </w:t>
      </w:r>
      <w:proofErr w:type="spellStart"/>
      <w:r w:rsidRPr="006D787A">
        <w:rPr>
          <w:rFonts w:ascii="Times New Roman" w:hAnsi="Times New Roman" w:cs="Times New Roman"/>
          <w:sz w:val="20"/>
          <w:szCs w:val="20"/>
        </w:rPr>
        <w:t>the</w:t>
      </w:r>
      <w:proofErr w:type="spellEnd"/>
      <w:r w:rsidRPr="006D787A">
        <w:rPr>
          <w:rFonts w:ascii="Times New Roman" w:hAnsi="Times New Roman" w:cs="Times New Roman"/>
          <w:sz w:val="20"/>
          <w:szCs w:val="20"/>
        </w:rPr>
        <w:t xml:space="preserve"> </w:t>
      </w:r>
      <w:proofErr w:type="spellStart"/>
      <w:r w:rsidRPr="006D787A">
        <w:rPr>
          <w:rFonts w:ascii="Times New Roman" w:hAnsi="Times New Roman" w:cs="Times New Roman"/>
          <w:sz w:val="20"/>
          <w:szCs w:val="20"/>
        </w:rPr>
        <w:t>enforcement</w:t>
      </w:r>
      <w:proofErr w:type="spellEnd"/>
      <w:r w:rsidRPr="006D787A">
        <w:rPr>
          <w:rFonts w:ascii="Times New Roman" w:hAnsi="Times New Roman" w:cs="Times New Roman"/>
          <w:sz w:val="20"/>
          <w:szCs w:val="20"/>
        </w:rPr>
        <w:t xml:space="preserve"> </w:t>
      </w:r>
      <w:proofErr w:type="spellStart"/>
      <w:r w:rsidRPr="006D787A">
        <w:rPr>
          <w:rFonts w:ascii="Times New Roman" w:hAnsi="Times New Roman" w:cs="Times New Roman"/>
          <w:sz w:val="20"/>
          <w:szCs w:val="20"/>
        </w:rPr>
        <w:t>of</w:t>
      </w:r>
      <w:proofErr w:type="spellEnd"/>
      <w:r w:rsidRPr="006D787A">
        <w:rPr>
          <w:rFonts w:ascii="Times New Roman" w:hAnsi="Times New Roman" w:cs="Times New Roman"/>
          <w:sz w:val="20"/>
          <w:szCs w:val="20"/>
        </w:rPr>
        <w:t xml:space="preserve"> State </w:t>
      </w:r>
      <w:proofErr w:type="spellStart"/>
      <w:r w:rsidRPr="006D787A">
        <w:rPr>
          <w:rFonts w:ascii="Times New Roman" w:hAnsi="Times New Roman" w:cs="Times New Roman"/>
          <w:sz w:val="20"/>
          <w:szCs w:val="20"/>
        </w:rPr>
        <w:t>aid</w:t>
      </w:r>
      <w:proofErr w:type="spellEnd"/>
      <w:r w:rsidRPr="006D787A">
        <w:rPr>
          <w:rFonts w:ascii="Times New Roman" w:hAnsi="Times New Roman" w:cs="Times New Roman"/>
          <w:sz w:val="20"/>
          <w:szCs w:val="20"/>
        </w:rPr>
        <w:t xml:space="preserve"> </w:t>
      </w:r>
      <w:proofErr w:type="spellStart"/>
      <w:r w:rsidRPr="006D787A">
        <w:rPr>
          <w:rFonts w:ascii="Times New Roman" w:hAnsi="Times New Roman" w:cs="Times New Roman"/>
          <w:sz w:val="20"/>
          <w:szCs w:val="20"/>
        </w:rPr>
        <w:t>law</w:t>
      </w:r>
      <w:proofErr w:type="spellEnd"/>
      <w:r w:rsidRPr="006D787A">
        <w:rPr>
          <w:rFonts w:ascii="Times New Roman" w:hAnsi="Times New Roman" w:cs="Times New Roman"/>
          <w:sz w:val="20"/>
          <w:szCs w:val="20"/>
        </w:rPr>
        <w:t xml:space="preserve"> </w:t>
      </w:r>
      <w:proofErr w:type="spellStart"/>
      <w:r w:rsidRPr="006D787A">
        <w:rPr>
          <w:rFonts w:ascii="Times New Roman" w:hAnsi="Times New Roman" w:cs="Times New Roman"/>
          <w:sz w:val="20"/>
          <w:szCs w:val="20"/>
        </w:rPr>
        <w:t>by</w:t>
      </w:r>
      <w:proofErr w:type="spellEnd"/>
      <w:r w:rsidRPr="006D787A">
        <w:rPr>
          <w:rFonts w:ascii="Times New Roman" w:hAnsi="Times New Roman" w:cs="Times New Roman"/>
          <w:sz w:val="20"/>
          <w:szCs w:val="20"/>
        </w:rPr>
        <w:t xml:space="preserve"> national </w:t>
      </w:r>
      <w:proofErr w:type="spellStart"/>
      <w:r w:rsidRPr="006D787A">
        <w:rPr>
          <w:rFonts w:ascii="Times New Roman" w:hAnsi="Times New Roman" w:cs="Times New Roman"/>
          <w:sz w:val="20"/>
          <w:szCs w:val="20"/>
        </w:rPr>
        <w:t>courts</w:t>
      </w:r>
      <w:proofErr w:type="spellEnd"/>
      <w:r>
        <w:rPr>
          <w:rFonts w:ascii="Times New Roman" w:hAnsi="Times New Roman" w:cs="Times New Roman"/>
          <w:sz w:val="20"/>
          <w:szCs w:val="20"/>
        </w:rPr>
        <w:t>,</w:t>
      </w:r>
      <w:r w:rsidRPr="00E66CF8">
        <w:rPr>
          <w:rFonts w:ascii="Times New Roman" w:hAnsi="Times New Roman" w:cs="Times New Roman"/>
          <w:sz w:val="20"/>
          <w:szCs w:val="20"/>
        </w:rPr>
        <w:t xml:space="preserve"> </w:t>
      </w:r>
      <w:r>
        <w:rPr>
          <w:rFonts w:ascii="Times New Roman" w:hAnsi="Times New Roman" w:cs="Times New Roman"/>
          <w:sz w:val="20"/>
          <w:szCs w:val="20"/>
        </w:rPr>
        <w:t>nos</w:t>
      </w:r>
      <w:r w:rsidRPr="00E66CF8">
        <w:rPr>
          <w:rFonts w:ascii="Times New Roman" w:hAnsi="Times New Roman" w:cs="Times New Roman"/>
          <w:sz w:val="20"/>
          <w:szCs w:val="20"/>
        </w:rPr>
        <w:t>. 43 </w:t>
      </w:r>
      <w:r>
        <w:rPr>
          <w:rFonts w:ascii="Times New Roman" w:hAnsi="Times New Roman" w:cs="Times New Roman"/>
          <w:sz w:val="20"/>
          <w:szCs w:val="20"/>
        </w:rPr>
        <w:t xml:space="preserve">et </w:t>
      </w:r>
      <w:proofErr w:type="gramStart"/>
      <w:r>
        <w:rPr>
          <w:rFonts w:ascii="Times New Roman" w:hAnsi="Times New Roman" w:cs="Times New Roman"/>
          <w:sz w:val="20"/>
          <w:szCs w:val="20"/>
        </w:rPr>
        <w:t>seq</w:t>
      </w:r>
      <w:r w:rsidRPr="00E66CF8">
        <w:rPr>
          <w:rFonts w:ascii="Times New Roman" w:hAnsi="Times New Roman" w:cs="Times New Roman"/>
          <w:sz w:val="20"/>
          <w:szCs w:val="20"/>
        </w:rPr>
        <w:t>.;</w:t>
      </w:r>
      <w:proofErr w:type="gramEnd"/>
      <w:r w:rsidRPr="00E66CF8">
        <w:rPr>
          <w:rFonts w:ascii="Times New Roman" w:hAnsi="Times New Roman" w:cs="Times New Roman"/>
          <w:sz w:val="20"/>
          <w:szCs w:val="20"/>
        </w:rPr>
        <w:t xml:space="preserve"> B</w:t>
      </w:r>
      <w:r>
        <w:rPr>
          <w:rFonts w:ascii="Times New Roman" w:hAnsi="Times New Roman" w:cs="Times New Roman"/>
          <w:sz w:val="20"/>
          <w:szCs w:val="20"/>
        </w:rPr>
        <w:t xml:space="preserve">undesgerichtshof (German </w:t>
      </w:r>
      <w:proofErr w:type="spellStart"/>
      <w:r>
        <w:rPr>
          <w:rFonts w:ascii="Times New Roman" w:hAnsi="Times New Roman" w:cs="Times New Roman"/>
          <w:sz w:val="20"/>
          <w:szCs w:val="20"/>
        </w:rPr>
        <w:t>supreme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court</w:t>
      </w:r>
      <w:proofErr w:type="spellEnd"/>
      <w:r>
        <w:rPr>
          <w:rFonts w:ascii="Times New Roman" w:hAnsi="Times New Roman" w:cs="Times New Roman"/>
          <w:sz w:val="20"/>
          <w:szCs w:val="20"/>
        </w:rPr>
        <w:t xml:space="preserve"> – BGH)</w:t>
      </w:r>
      <w:r w:rsidRPr="00E66CF8">
        <w:rPr>
          <w:rFonts w:ascii="Times New Roman" w:hAnsi="Times New Roman" w:cs="Times New Roman"/>
          <w:sz w:val="20"/>
          <w:szCs w:val="20"/>
        </w:rPr>
        <w:t xml:space="preserve"> </w:t>
      </w:r>
      <w:r>
        <w:rPr>
          <w:rFonts w:ascii="Times New Roman" w:hAnsi="Times New Roman" w:cs="Times New Roman"/>
          <w:sz w:val="20"/>
          <w:szCs w:val="20"/>
        </w:rPr>
        <w:t>2/10/</w:t>
      </w:r>
      <w:r w:rsidRPr="00E66CF8">
        <w:rPr>
          <w:rFonts w:ascii="Times New Roman" w:hAnsi="Times New Roman" w:cs="Times New Roman"/>
          <w:sz w:val="20"/>
          <w:szCs w:val="20"/>
        </w:rPr>
        <w:t>2011 – I ZR 136/09, Eu</w:t>
      </w:r>
      <w:r>
        <w:rPr>
          <w:rFonts w:ascii="Times New Roman" w:hAnsi="Times New Roman" w:cs="Times New Roman"/>
          <w:sz w:val="20"/>
          <w:szCs w:val="20"/>
        </w:rPr>
        <w:t>ropäische Zeitschrift für Wirtschaftsrecht,</w:t>
      </w:r>
      <w:r w:rsidRPr="00E66CF8">
        <w:rPr>
          <w:rFonts w:ascii="Times New Roman" w:hAnsi="Times New Roman" w:cs="Times New Roman"/>
          <w:sz w:val="20"/>
          <w:szCs w:val="20"/>
        </w:rPr>
        <w:t xml:space="preserve"> 2011, 440 </w:t>
      </w:r>
      <w:r>
        <w:rPr>
          <w:rFonts w:ascii="Times New Roman" w:hAnsi="Times New Roman" w:cs="Times New Roman"/>
          <w:sz w:val="20"/>
          <w:szCs w:val="20"/>
        </w:rPr>
        <w:t>nos</w:t>
      </w:r>
      <w:r w:rsidRPr="00E66CF8">
        <w:rPr>
          <w:rFonts w:ascii="Times New Roman" w:hAnsi="Times New Roman" w:cs="Times New Roman"/>
          <w:sz w:val="20"/>
          <w:szCs w:val="20"/>
        </w:rPr>
        <w:t>. 14 </w:t>
      </w:r>
      <w:r>
        <w:rPr>
          <w:rFonts w:ascii="Times New Roman" w:hAnsi="Times New Roman" w:cs="Times New Roman"/>
          <w:sz w:val="20"/>
          <w:szCs w:val="20"/>
        </w:rPr>
        <w:t>et seq</w:t>
      </w:r>
      <w:r w:rsidRPr="00E66CF8">
        <w:rPr>
          <w:rFonts w:ascii="Times New Roman" w:hAnsi="Times New Roman" w:cs="Times New Roman"/>
          <w:sz w:val="20"/>
          <w:szCs w:val="20"/>
        </w:rPr>
        <w:t xml:space="preserve">. – Flughafen Frankfurt-Hahn; </w:t>
      </w:r>
      <w:r>
        <w:rPr>
          <w:rFonts w:ascii="Times New Roman" w:hAnsi="Times New Roman" w:cs="Times New Roman"/>
          <w:sz w:val="20"/>
          <w:szCs w:val="20"/>
        </w:rPr>
        <w:t>2/10/</w:t>
      </w:r>
      <w:r w:rsidRPr="00E66CF8">
        <w:rPr>
          <w:rFonts w:ascii="Times New Roman" w:hAnsi="Times New Roman" w:cs="Times New Roman"/>
          <w:sz w:val="20"/>
          <w:szCs w:val="20"/>
        </w:rPr>
        <w:t xml:space="preserve">2011 – I ZR 213/08, </w:t>
      </w:r>
      <w:proofErr w:type="spellStart"/>
      <w:r>
        <w:rPr>
          <w:rFonts w:ascii="Times New Roman" w:hAnsi="Times New Roman" w:cs="Times New Roman"/>
          <w:sz w:val="20"/>
          <w:szCs w:val="20"/>
        </w:rPr>
        <w:t>juris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database</w:t>
      </w:r>
      <w:proofErr w:type="spellEnd"/>
      <w:r>
        <w:rPr>
          <w:rFonts w:ascii="Times New Roman" w:hAnsi="Times New Roman" w:cs="Times New Roman"/>
          <w:sz w:val="20"/>
          <w:szCs w:val="20"/>
        </w:rPr>
        <w:t>,</w:t>
      </w:r>
      <w:r w:rsidRPr="00E66CF8">
        <w:rPr>
          <w:rFonts w:ascii="Times New Roman" w:hAnsi="Times New Roman" w:cs="Times New Roman"/>
          <w:sz w:val="20"/>
          <w:szCs w:val="20"/>
        </w:rPr>
        <w:t xml:space="preserve"> </w:t>
      </w:r>
      <w:r>
        <w:rPr>
          <w:rFonts w:ascii="Times New Roman" w:hAnsi="Times New Roman" w:cs="Times New Roman"/>
          <w:sz w:val="20"/>
          <w:szCs w:val="20"/>
        </w:rPr>
        <w:t>nos</w:t>
      </w:r>
      <w:r w:rsidRPr="00E66CF8">
        <w:rPr>
          <w:rFonts w:ascii="Times New Roman" w:hAnsi="Times New Roman" w:cs="Times New Roman"/>
          <w:sz w:val="20"/>
          <w:szCs w:val="20"/>
        </w:rPr>
        <w:t xml:space="preserve">. 20 </w:t>
      </w:r>
      <w:r>
        <w:rPr>
          <w:rFonts w:ascii="Times New Roman" w:hAnsi="Times New Roman" w:cs="Times New Roman"/>
          <w:sz w:val="20"/>
          <w:szCs w:val="20"/>
        </w:rPr>
        <w:t>et seq</w:t>
      </w:r>
      <w:r w:rsidRPr="00E66CF8">
        <w:rPr>
          <w:rFonts w:ascii="Times New Roman" w:hAnsi="Times New Roman" w:cs="Times New Roman"/>
          <w:sz w:val="20"/>
          <w:szCs w:val="20"/>
        </w:rPr>
        <w:t xml:space="preserve">.; </w:t>
      </w:r>
      <w:proofErr w:type="spellStart"/>
      <w:r>
        <w:rPr>
          <w:rFonts w:ascii="Times New Roman" w:hAnsi="Times New Roman" w:cs="Times New Roman"/>
          <w:sz w:val="20"/>
          <w:szCs w:val="20"/>
        </w:rPr>
        <w:t>comp</w:t>
      </w:r>
      <w:r w:rsidRPr="00E66CF8">
        <w:rPr>
          <w:rFonts w:ascii="Times New Roman" w:hAnsi="Times New Roman" w:cs="Times New Roman"/>
          <w:sz w:val="20"/>
          <w:szCs w:val="20"/>
        </w:rPr>
        <w:t>.</w:t>
      </w:r>
      <w:proofErr w:type="spellEnd"/>
      <w:r w:rsidRPr="00E66CF8">
        <w:rPr>
          <w:rFonts w:ascii="Times New Roman" w:hAnsi="Times New Roman" w:cs="Times New Roman"/>
          <w:sz w:val="20"/>
          <w:szCs w:val="20"/>
        </w:rPr>
        <w:t xml:space="preserve"> </w:t>
      </w:r>
      <w:proofErr w:type="spellStart"/>
      <w:r w:rsidRPr="00E66CF8">
        <w:rPr>
          <w:rFonts w:ascii="Times New Roman" w:hAnsi="Times New Roman" w:cs="Times New Roman"/>
          <w:i/>
          <w:sz w:val="20"/>
          <w:szCs w:val="20"/>
        </w:rPr>
        <w:t>Kreße</w:t>
      </w:r>
      <w:proofErr w:type="spellEnd"/>
      <w:r w:rsidRPr="004A48B6">
        <w:rPr>
          <w:rFonts w:ascii="Times New Roman" w:hAnsi="Times New Roman" w:cs="Times New Roman"/>
          <w:sz w:val="20"/>
          <w:szCs w:val="20"/>
        </w:rPr>
        <w:t>,</w:t>
      </w:r>
      <w:r w:rsidRPr="00E66CF8">
        <w:rPr>
          <w:rFonts w:ascii="Times New Roman" w:hAnsi="Times New Roman" w:cs="Times New Roman"/>
          <w:sz w:val="20"/>
          <w:szCs w:val="20"/>
        </w:rPr>
        <w:t xml:space="preserve"> W</w:t>
      </w:r>
      <w:r>
        <w:rPr>
          <w:rFonts w:ascii="Times New Roman" w:hAnsi="Times New Roman" w:cs="Times New Roman"/>
          <w:sz w:val="20"/>
          <w:szCs w:val="20"/>
        </w:rPr>
        <w:t>ettbewerb in Recht und Praxis,</w:t>
      </w:r>
      <w:r w:rsidRPr="00E66CF8">
        <w:rPr>
          <w:rFonts w:ascii="Times New Roman" w:hAnsi="Times New Roman" w:cs="Times New Roman"/>
          <w:sz w:val="20"/>
          <w:szCs w:val="20"/>
        </w:rPr>
        <w:t xml:space="preserve"> 2017, 663.</w:t>
      </w:r>
    </w:p>
  </w:footnote>
  <w:footnote w:id="13">
    <w:p w14:paraId="73CEA038" w14:textId="64B466FB" w:rsidR="00D13078" w:rsidRPr="00E66CF8" w:rsidRDefault="00D13078" w:rsidP="006476E0">
      <w:pPr>
        <w:pStyle w:val="Funotentext"/>
        <w:suppressAutoHyphens/>
        <w:jc w:val="both"/>
        <w:rPr>
          <w:rFonts w:ascii="Times New Roman" w:hAnsi="Times New Roman" w:cs="Times New Roman"/>
          <w:sz w:val="20"/>
          <w:szCs w:val="20"/>
        </w:rPr>
      </w:pPr>
      <w:r w:rsidRPr="00E66CF8">
        <w:rPr>
          <w:rStyle w:val="Funotenzeichen"/>
          <w:rFonts w:ascii="Times New Roman" w:hAnsi="Times New Roman" w:cs="Times New Roman"/>
          <w:sz w:val="20"/>
          <w:szCs w:val="20"/>
        </w:rPr>
        <w:footnoteRef/>
      </w:r>
      <w:r w:rsidRPr="00E66CF8">
        <w:rPr>
          <w:rFonts w:ascii="Times New Roman" w:hAnsi="Times New Roman" w:cs="Times New Roman"/>
          <w:sz w:val="20"/>
          <w:szCs w:val="20"/>
        </w:rPr>
        <w:t xml:space="preserve"> </w:t>
      </w:r>
      <w:r>
        <w:rPr>
          <w:rFonts w:ascii="Times New Roman" w:hAnsi="Times New Roman" w:cs="Times New Roman"/>
          <w:sz w:val="20"/>
          <w:szCs w:val="20"/>
        </w:rPr>
        <w:t xml:space="preserve">In </w:t>
      </w:r>
      <w:proofErr w:type="spellStart"/>
      <w:r>
        <w:rPr>
          <w:rFonts w:ascii="Times New Roman" w:hAnsi="Times New Roman" w:cs="Times New Roman"/>
          <w:sz w:val="20"/>
          <w:szCs w:val="20"/>
        </w:rPr>
        <w:t>this</w:t>
      </w:r>
      <w:proofErr w:type="spellEnd"/>
      <w:r>
        <w:rPr>
          <w:rFonts w:ascii="Times New Roman" w:hAnsi="Times New Roman" w:cs="Times New Roman"/>
          <w:sz w:val="20"/>
          <w:szCs w:val="20"/>
        </w:rPr>
        <w:t xml:space="preserve"> sense </w:t>
      </w:r>
      <w:proofErr w:type="spellStart"/>
      <w:r>
        <w:rPr>
          <w:rFonts w:ascii="Times New Roman" w:hAnsi="Times New Roman" w:cs="Times New Roman"/>
          <w:sz w:val="20"/>
          <w:szCs w:val="20"/>
        </w:rPr>
        <w:t>with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respect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already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to</w:t>
      </w:r>
      <w:proofErr w:type="spellEnd"/>
      <w:r w:rsidRPr="00E66CF8">
        <w:rPr>
          <w:rFonts w:ascii="Times New Roman" w:hAnsi="Times New Roman" w:cs="Times New Roman"/>
          <w:sz w:val="20"/>
          <w:szCs w:val="20"/>
        </w:rPr>
        <w:t xml:space="preserve"> </w:t>
      </w:r>
      <w:proofErr w:type="spellStart"/>
      <w:r w:rsidRPr="00E66CF8">
        <w:rPr>
          <w:rFonts w:ascii="Times New Roman" w:hAnsi="Times New Roman" w:cs="Times New Roman"/>
          <w:sz w:val="20"/>
          <w:szCs w:val="20"/>
        </w:rPr>
        <w:t>Art</w:t>
      </w:r>
      <w:r>
        <w:rPr>
          <w:rFonts w:ascii="Times New Roman" w:hAnsi="Times New Roman" w:cs="Times New Roman"/>
          <w:sz w:val="20"/>
          <w:szCs w:val="20"/>
        </w:rPr>
        <w:t>icle</w:t>
      </w:r>
      <w:proofErr w:type="spellEnd"/>
      <w:r w:rsidRPr="00E66CF8">
        <w:rPr>
          <w:rFonts w:ascii="Times New Roman" w:hAnsi="Times New Roman" w:cs="Times New Roman"/>
          <w:sz w:val="20"/>
          <w:szCs w:val="20"/>
        </w:rPr>
        <w:t xml:space="preserve"> 93 </w:t>
      </w:r>
      <w:r>
        <w:rPr>
          <w:rFonts w:ascii="Times New Roman" w:hAnsi="Times New Roman" w:cs="Times New Roman"/>
          <w:sz w:val="20"/>
          <w:szCs w:val="20"/>
        </w:rPr>
        <w:t>(3)</w:t>
      </w:r>
      <w:r w:rsidRPr="00E66CF8">
        <w:rPr>
          <w:rFonts w:ascii="Times New Roman" w:hAnsi="Times New Roman" w:cs="Times New Roman"/>
          <w:sz w:val="20"/>
          <w:szCs w:val="20"/>
        </w:rPr>
        <w:t xml:space="preserve"> </w:t>
      </w:r>
      <w:proofErr w:type="spellStart"/>
      <w:r>
        <w:rPr>
          <w:rFonts w:ascii="Times New Roman" w:hAnsi="Times New Roman" w:cs="Times New Roman"/>
          <w:sz w:val="20"/>
          <w:szCs w:val="20"/>
        </w:rPr>
        <w:t>of</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EEC Treaty ECJ</w:t>
      </w:r>
      <w:r w:rsidRPr="00E66CF8">
        <w:rPr>
          <w:rFonts w:ascii="Times New Roman" w:hAnsi="Times New Roman" w:cs="Times New Roman"/>
          <w:sz w:val="20"/>
          <w:szCs w:val="20"/>
        </w:rPr>
        <w:t xml:space="preserve"> </w:t>
      </w:r>
      <w:r>
        <w:rPr>
          <w:rFonts w:ascii="Times New Roman" w:hAnsi="Times New Roman" w:cs="Times New Roman"/>
          <w:sz w:val="20"/>
          <w:szCs w:val="20"/>
        </w:rPr>
        <w:t>12/11/</w:t>
      </w:r>
      <w:r w:rsidRPr="00E66CF8">
        <w:rPr>
          <w:rFonts w:ascii="Times New Roman" w:hAnsi="Times New Roman" w:cs="Times New Roman"/>
          <w:sz w:val="20"/>
          <w:szCs w:val="20"/>
        </w:rPr>
        <w:t xml:space="preserve">1973 – 120/73, </w:t>
      </w:r>
      <w:r>
        <w:rPr>
          <w:rFonts w:ascii="Times New Roman" w:hAnsi="Times New Roman" w:cs="Times New Roman"/>
          <w:sz w:val="20"/>
          <w:szCs w:val="20"/>
        </w:rPr>
        <w:t>ECR</w:t>
      </w:r>
      <w:r w:rsidRPr="00E66CF8">
        <w:rPr>
          <w:rFonts w:ascii="Times New Roman" w:hAnsi="Times New Roman" w:cs="Times New Roman"/>
          <w:sz w:val="20"/>
          <w:szCs w:val="20"/>
        </w:rPr>
        <w:t xml:space="preserve"> 1973, 1471 </w:t>
      </w:r>
      <w:proofErr w:type="spellStart"/>
      <w:r>
        <w:rPr>
          <w:rFonts w:ascii="Times New Roman" w:hAnsi="Times New Roman" w:cs="Times New Roman"/>
          <w:sz w:val="20"/>
          <w:szCs w:val="20"/>
        </w:rPr>
        <w:t>no</w:t>
      </w:r>
      <w:proofErr w:type="spellEnd"/>
      <w:r w:rsidRPr="00E66CF8">
        <w:rPr>
          <w:rFonts w:ascii="Times New Roman" w:hAnsi="Times New Roman" w:cs="Times New Roman"/>
          <w:sz w:val="20"/>
          <w:szCs w:val="20"/>
        </w:rPr>
        <w:t xml:space="preserve">. 8 – Lorenz; </w:t>
      </w:r>
      <w:r>
        <w:rPr>
          <w:rFonts w:ascii="Times New Roman" w:hAnsi="Times New Roman" w:cs="Times New Roman"/>
          <w:sz w:val="20"/>
          <w:szCs w:val="20"/>
        </w:rPr>
        <w:t>11/21/</w:t>
      </w:r>
      <w:r w:rsidRPr="00E66CF8">
        <w:rPr>
          <w:rFonts w:ascii="Times New Roman" w:hAnsi="Times New Roman" w:cs="Times New Roman"/>
          <w:sz w:val="20"/>
          <w:szCs w:val="20"/>
        </w:rPr>
        <w:t xml:space="preserve">1991 – C-354/90, </w:t>
      </w:r>
      <w:r>
        <w:rPr>
          <w:rFonts w:ascii="Times New Roman" w:hAnsi="Times New Roman" w:cs="Times New Roman"/>
          <w:sz w:val="20"/>
          <w:szCs w:val="20"/>
        </w:rPr>
        <w:t>ECR</w:t>
      </w:r>
      <w:r w:rsidRPr="00E66CF8">
        <w:rPr>
          <w:rFonts w:ascii="Times New Roman" w:hAnsi="Times New Roman" w:cs="Times New Roman"/>
          <w:sz w:val="20"/>
          <w:szCs w:val="20"/>
        </w:rPr>
        <w:t xml:space="preserve"> 1991, I-5505 </w:t>
      </w:r>
      <w:r>
        <w:rPr>
          <w:rFonts w:ascii="Times New Roman" w:hAnsi="Times New Roman" w:cs="Times New Roman"/>
          <w:sz w:val="20"/>
          <w:szCs w:val="20"/>
        </w:rPr>
        <w:t>nos</w:t>
      </w:r>
      <w:r w:rsidRPr="00E66CF8">
        <w:rPr>
          <w:rFonts w:ascii="Times New Roman" w:hAnsi="Times New Roman" w:cs="Times New Roman"/>
          <w:sz w:val="20"/>
          <w:szCs w:val="20"/>
        </w:rPr>
        <w:t xml:space="preserve">. 11 f. – FNCE; </w:t>
      </w:r>
      <w:proofErr w:type="spellStart"/>
      <w:r w:rsidRPr="00E66CF8">
        <w:rPr>
          <w:rFonts w:ascii="Times New Roman" w:hAnsi="Times New Roman" w:cs="Times New Roman"/>
          <w:sz w:val="20"/>
          <w:szCs w:val="20"/>
        </w:rPr>
        <w:t>s</w:t>
      </w:r>
      <w:r>
        <w:rPr>
          <w:rFonts w:ascii="Times New Roman" w:hAnsi="Times New Roman" w:cs="Times New Roman"/>
          <w:sz w:val="20"/>
          <w:szCs w:val="20"/>
        </w:rPr>
        <w:t>ee</w:t>
      </w:r>
      <w:proofErr w:type="spellEnd"/>
      <w:r>
        <w:rPr>
          <w:rFonts w:ascii="Times New Roman" w:hAnsi="Times New Roman" w:cs="Times New Roman"/>
          <w:sz w:val="20"/>
          <w:szCs w:val="20"/>
        </w:rPr>
        <w:t xml:space="preserve"> also</w:t>
      </w:r>
      <w:r w:rsidRPr="00E66CF8">
        <w:rPr>
          <w:rFonts w:ascii="Times New Roman" w:hAnsi="Times New Roman" w:cs="Times New Roman"/>
          <w:sz w:val="20"/>
          <w:szCs w:val="20"/>
        </w:rPr>
        <w:t xml:space="preserve"> </w:t>
      </w:r>
      <w:proofErr w:type="spellStart"/>
      <w:r w:rsidRPr="00E66CF8">
        <w:rPr>
          <w:rFonts w:ascii="Times New Roman" w:hAnsi="Times New Roman" w:cs="Times New Roman"/>
          <w:i/>
          <w:sz w:val="20"/>
          <w:szCs w:val="20"/>
        </w:rPr>
        <w:t>Bartosch</w:t>
      </w:r>
      <w:proofErr w:type="spellEnd"/>
      <w:r w:rsidRPr="004A48B6">
        <w:rPr>
          <w:rFonts w:ascii="Times New Roman" w:hAnsi="Times New Roman" w:cs="Times New Roman"/>
          <w:sz w:val="20"/>
          <w:szCs w:val="20"/>
        </w:rPr>
        <w:t>,</w:t>
      </w:r>
      <w:r w:rsidRPr="00E66CF8">
        <w:rPr>
          <w:rFonts w:ascii="Times New Roman" w:hAnsi="Times New Roman" w:cs="Times New Roman"/>
          <w:sz w:val="20"/>
          <w:szCs w:val="20"/>
        </w:rPr>
        <w:t xml:space="preserve"> Eu</w:t>
      </w:r>
      <w:r>
        <w:rPr>
          <w:rFonts w:ascii="Times New Roman" w:hAnsi="Times New Roman" w:cs="Times New Roman"/>
          <w:sz w:val="20"/>
          <w:szCs w:val="20"/>
        </w:rPr>
        <w:t>roparecht,</w:t>
      </w:r>
      <w:r w:rsidRPr="00E66CF8">
        <w:rPr>
          <w:rFonts w:ascii="Times New Roman" w:hAnsi="Times New Roman" w:cs="Times New Roman"/>
          <w:sz w:val="20"/>
          <w:szCs w:val="20"/>
        </w:rPr>
        <w:t xml:space="preserve"> 2012, 60 (</w:t>
      </w:r>
      <w:r>
        <w:rPr>
          <w:rFonts w:ascii="Times New Roman" w:hAnsi="Times New Roman" w:cs="Times New Roman"/>
          <w:sz w:val="20"/>
          <w:szCs w:val="20"/>
        </w:rPr>
        <w:t xml:space="preserve">p. </w:t>
      </w:r>
      <w:r w:rsidRPr="00E66CF8">
        <w:rPr>
          <w:rFonts w:ascii="Times New Roman" w:hAnsi="Times New Roman" w:cs="Times New Roman"/>
          <w:sz w:val="20"/>
          <w:szCs w:val="20"/>
        </w:rPr>
        <w:t xml:space="preserve">62 </w:t>
      </w:r>
      <w:r>
        <w:rPr>
          <w:rFonts w:ascii="Times New Roman" w:hAnsi="Times New Roman" w:cs="Times New Roman"/>
          <w:sz w:val="20"/>
          <w:szCs w:val="20"/>
        </w:rPr>
        <w:t>et seq.</w:t>
      </w:r>
      <w:r w:rsidRPr="00E66CF8">
        <w:rPr>
          <w:rFonts w:ascii="Times New Roman" w:hAnsi="Times New Roman" w:cs="Times New Roman"/>
          <w:sz w:val="20"/>
          <w:szCs w:val="20"/>
        </w:rPr>
        <w:t xml:space="preserve">); </w:t>
      </w:r>
      <w:proofErr w:type="spellStart"/>
      <w:r w:rsidRPr="00E66CF8">
        <w:rPr>
          <w:rFonts w:ascii="Times New Roman" w:hAnsi="Times New Roman" w:cs="Times New Roman"/>
          <w:i/>
          <w:sz w:val="20"/>
          <w:szCs w:val="20"/>
        </w:rPr>
        <w:t>Kreße</w:t>
      </w:r>
      <w:proofErr w:type="spellEnd"/>
      <w:r w:rsidRPr="004A48B6">
        <w:rPr>
          <w:rFonts w:ascii="Times New Roman" w:hAnsi="Times New Roman" w:cs="Times New Roman"/>
          <w:sz w:val="20"/>
          <w:szCs w:val="20"/>
        </w:rPr>
        <w:t>,</w:t>
      </w:r>
      <w:r w:rsidRPr="00E66CF8">
        <w:rPr>
          <w:rFonts w:ascii="Times New Roman" w:hAnsi="Times New Roman" w:cs="Times New Roman"/>
          <w:sz w:val="20"/>
          <w:szCs w:val="20"/>
        </w:rPr>
        <w:t xml:space="preserve"> W</w:t>
      </w:r>
      <w:r>
        <w:rPr>
          <w:rFonts w:ascii="Times New Roman" w:hAnsi="Times New Roman" w:cs="Times New Roman"/>
          <w:sz w:val="20"/>
          <w:szCs w:val="20"/>
        </w:rPr>
        <w:t xml:space="preserve">ettbewerb in Recht und Praxis, </w:t>
      </w:r>
      <w:r w:rsidRPr="00E66CF8">
        <w:rPr>
          <w:rFonts w:ascii="Times New Roman" w:hAnsi="Times New Roman" w:cs="Times New Roman"/>
          <w:sz w:val="20"/>
          <w:szCs w:val="20"/>
        </w:rPr>
        <w:t>201</w:t>
      </w:r>
      <w:r>
        <w:rPr>
          <w:rFonts w:ascii="Times New Roman" w:hAnsi="Times New Roman" w:cs="Times New Roman"/>
          <w:sz w:val="20"/>
          <w:szCs w:val="20"/>
        </w:rPr>
        <w:t>7</w:t>
      </w:r>
      <w:r w:rsidRPr="00E66CF8">
        <w:rPr>
          <w:rFonts w:ascii="Times New Roman" w:hAnsi="Times New Roman" w:cs="Times New Roman"/>
          <w:sz w:val="20"/>
          <w:szCs w:val="20"/>
        </w:rPr>
        <w:t>, 663 (</w:t>
      </w:r>
      <w:r>
        <w:rPr>
          <w:rFonts w:ascii="Times New Roman" w:hAnsi="Times New Roman" w:cs="Times New Roman"/>
          <w:sz w:val="20"/>
          <w:szCs w:val="20"/>
        </w:rPr>
        <w:t xml:space="preserve">p. </w:t>
      </w:r>
      <w:r w:rsidRPr="00E66CF8">
        <w:rPr>
          <w:rFonts w:ascii="Times New Roman" w:hAnsi="Times New Roman" w:cs="Times New Roman"/>
          <w:sz w:val="20"/>
          <w:szCs w:val="20"/>
        </w:rPr>
        <w:t>664).</w:t>
      </w:r>
    </w:p>
  </w:footnote>
  <w:footnote w:id="14">
    <w:p w14:paraId="19886B9C" w14:textId="1D7BF69E" w:rsidR="00D13078" w:rsidRPr="00E66CF8" w:rsidRDefault="00D13078" w:rsidP="006476E0">
      <w:pPr>
        <w:pStyle w:val="Funotentext"/>
        <w:jc w:val="both"/>
        <w:rPr>
          <w:rFonts w:ascii="Times New Roman" w:hAnsi="Times New Roman" w:cs="Times New Roman"/>
          <w:sz w:val="20"/>
          <w:szCs w:val="20"/>
        </w:rPr>
      </w:pPr>
      <w:r w:rsidRPr="00E66CF8">
        <w:rPr>
          <w:rStyle w:val="Funotenzeichen"/>
          <w:rFonts w:ascii="Times New Roman" w:hAnsi="Times New Roman" w:cs="Times New Roman"/>
          <w:sz w:val="20"/>
          <w:szCs w:val="20"/>
        </w:rPr>
        <w:footnoteRef/>
      </w:r>
      <w:r w:rsidRPr="00E66CF8">
        <w:rPr>
          <w:rFonts w:ascii="Times New Roman" w:hAnsi="Times New Roman" w:cs="Times New Roman"/>
          <w:sz w:val="20"/>
          <w:szCs w:val="20"/>
        </w:rPr>
        <w:t xml:space="preserve"> </w:t>
      </w:r>
      <w:proofErr w:type="spellStart"/>
      <w:r w:rsidRPr="006D787A">
        <w:rPr>
          <w:rFonts w:ascii="Times New Roman" w:hAnsi="Times New Roman" w:cs="Times New Roman"/>
          <w:sz w:val="20"/>
          <w:szCs w:val="20"/>
        </w:rPr>
        <w:t>Commission</w:t>
      </w:r>
      <w:proofErr w:type="spellEnd"/>
      <w:r w:rsidRPr="006D787A">
        <w:rPr>
          <w:rFonts w:ascii="Times New Roman" w:hAnsi="Times New Roman" w:cs="Times New Roman"/>
          <w:sz w:val="20"/>
          <w:szCs w:val="20"/>
        </w:rPr>
        <w:t xml:space="preserve"> </w:t>
      </w:r>
      <w:proofErr w:type="spellStart"/>
      <w:r w:rsidRPr="006D787A">
        <w:rPr>
          <w:rFonts w:ascii="Times New Roman" w:hAnsi="Times New Roman" w:cs="Times New Roman"/>
          <w:sz w:val="20"/>
          <w:szCs w:val="20"/>
        </w:rPr>
        <w:t>notice</w:t>
      </w:r>
      <w:proofErr w:type="spellEnd"/>
      <w:r w:rsidRPr="006D787A">
        <w:rPr>
          <w:rFonts w:ascii="Times New Roman" w:hAnsi="Times New Roman" w:cs="Times New Roman"/>
          <w:sz w:val="20"/>
          <w:szCs w:val="20"/>
        </w:rPr>
        <w:t xml:space="preserve"> on </w:t>
      </w:r>
      <w:proofErr w:type="spellStart"/>
      <w:r w:rsidRPr="006D787A">
        <w:rPr>
          <w:rFonts w:ascii="Times New Roman" w:hAnsi="Times New Roman" w:cs="Times New Roman"/>
          <w:sz w:val="20"/>
          <w:szCs w:val="20"/>
        </w:rPr>
        <w:t>the</w:t>
      </w:r>
      <w:proofErr w:type="spellEnd"/>
      <w:r w:rsidRPr="006D787A">
        <w:rPr>
          <w:rFonts w:ascii="Times New Roman" w:hAnsi="Times New Roman" w:cs="Times New Roman"/>
          <w:sz w:val="20"/>
          <w:szCs w:val="20"/>
        </w:rPr>
        <w:t xml:space="preserve"> </w:t>
      </w:r>
      <w:proofErr w:type="spellStart"/>
      <w:r w:rsidRPr="006D787A">
        <w:rPr>
          <w:rFonts w:ascii="Times New Roman" w:hAnsi="Times New Roman" w:cs="Times New Roman"/>
          <w:sz w:val="20"/>
          <w:szCs w:val="20"/>
        </w:rPr>
        <w:t>enforcement</w:t>
      </w:r>
      <w:proofErr w:type="spellEnd"/>
      <w:r w:rsidRPr="006D787A">
        <w:rPr>
          <w:rFonts w:ascii="Times New Roman" w:hAnsi="Times New Roman" w:cs="Times New Roman"/>
          <w:sz w:val="20"/>
          <w:szCs w:val="20"/>
        </w:rPr>
        <w:t xml:space="preserve"> </w:t>
      </w:r>
      <w:proofErr w:type="spellStart"/>
      <w:r w:rsidRPr="006D787A">
        <w:rPr>
          <w:rFonts w:ascii="Times New Roman" w:hAnsi="Times New Roman" w:cs="Times New Roman"/>
          <w:sz w:val="20"/>
          <w:szCs w:val="20"/>
        </w:rPr>
        <w:t>of</w:t>
      </w:r>
      <w:proofErr w:type="spellEnd"/>
      <w:r w:rsidRPr="006D787A">
        <w:rPr>
          <w:rFonts w:ascii="Times New Roman" w:hAnsi="Times New Roman" w:cs="Times New Roman"/>
          <w:sz w:val="20"/>
          <w:szCs w:val="20"/>
        </w:rPr>
        <w:t xml:space="preserve"> State </w:t>
      </w:r>
      <w:proofErr w:type="spellStart"/>
      <w:r w:rsidRPr="006D787A">
        <w:rPr>
          <w:rFonts w:ascii="Times New Roman" w:hAnsi="Times New Roman" w:cs="Times New Roman"/>
          <w:sz w:val="20"/>
          <w:szCs w:val="20"/>
        </w:rPr>
        <w:t>aid</w:t>
      </w:r>
      <w:proofErr w:type="spellEnd"/>
      <w:r w:rsidRPr="006D787A">
        <w:rPr>
          <w:rFonts w:ascii="Times New Roman" w:hAnsi="Times New Roman" w:cs="Times New Roman"/>
          <w:sz w:val="20"/>
          <w:szCs w:val="20"/>
        </w:rPr>
        <w:t xml:space="preserve"> </w:t>
      </w:r>
      <w:proofErr w:type="spellStart"/>
      <w:r w:rsidRPr="006D787A">
        <w:rPr>
          <w:rFonts w:ascii="Times New Roman" w:hAnsi="Times New Roman" w:cs="Times New Roman"/>
          <w:sz w:val="20"/>
          <w:szCs w:val="20"/>
        </w:rPr>
        <w:t>law</w:t>
      </w:r>
      <w:proofErr w:type="spellEnd"/>
      <w:r w:rsidRPr="006D787A">
        <w:rPr>
          <w:rFonts w:ascii="Times New Roman" w:hAnsi="Times New Roman" w:cs="Times New Roman"/>
          <w:sz w:val="20"/>
          <w:szCs w:val="20"/>
        </w:rPr>
        <w:t xml:space="preserve"> </w:t>
      </w:r>
      <w:proofErr w:type="spellStart"/>
      <w:r w:rsidRPr="006D787A">
        <w:rPr>
          <w:rFonts w:ascii="Times New Roman" w:hAnsi="Times New Roman" w:cs="Times New Roman"/>
          <w:sz w:val="20"/>
          <w:szCs w:val="20"/>
        </w:rPr>
        <w:t>by</w:t>
      </w:r>
      <w:proofErr w:type="spellEnd"/>
      <w:r w:rsidRPr="006D787A">
        <w:rPr>
          <w:rFonts w:ascii="Times New Roman" w:hAnsi="Times New Roman" w:cs="Times New Roman"/>
          <w:sz w:val="20"/>
          <w:szCs w:val="20"/>
        </w:rPr>
        <w:t xml:space="preserve"> national </w:t>
      </w:r>
      <w:proofErr w:type="spellStart"/>
      <w:r w:rsidRPr="006D787A">
        <w:rPr>
          <w:rFonts w:ascii="Times New Roman" w:hAnsi="Times New Roman" w:cs="Times New Roman"/>
          <w:sz w:val="20"/>
          <w:szCs w:val="20"/>
        </w:rPr>
        <w:t>court</w:t>
      </w:r>
      <w:r>
        <w:rPr>
          <w:rFonts w:ascii="Times New Roman" w:hAnsi="Times New Roman" w:cs="Times New Roman"/>
          <w:sz w:val="20"/>
          <w:szCs w:val="20"/>
        </w:rPr>
        <w:t>s</w:t>
      </w:r>
      <w:proofErr w:type="spellEnd"/>
      <w:r>
        <w:rPr>
          <w:rFonts w:ascii="Times New Roman" w:hAnsi="Times New Roman" w:cs="Times New Roman"/>
          <w:sz w:val="20"/>
          <w:szCs w:val="20"/>
        </w:rPr>
        <w:t>,</w:t>
      </w:r>
      <w:r w:rsidRPr="00E66CF8">
        <w:rPr>
          <w:rFonts w:ascii="Times New Roman" w:hAnsi="Times New Roman" w:cs="Times New Roman"/>
          <w:sz w:val="20"/>
          <w:szCs w:val="20"/>
        </w:rPr>
        <w:t xml:space="preserve"> </w:t>
      </w:r>
      <w:proofErr w:type="spellStart"/>
      <w:r>
        <w:rPr>
          <w:rFonts w:ascii="Times New Roman" w:hAnsi="Times New Roman" w:cs="Times New Roman"/>
          <w:sz w:val="20"/>
          <w:szCs w:val="20"/>
        </w:rPr>
        <w:t>no</w:t>
      </w:r>
      <w:proofErr w:type="spellEnd"/>
      <w:r w:rsidRPr="00E66CF8">
        <w:rPr>
          <w:rFonts w:ascii="Times New Roman" w:hAnsi="Times New Roman" w:cs="Times New Roman"/>
          <w:sz w:val="20"/>
          <w:szCs w:val="20"/>
        </w:rPr>
        <w:t xml:space="preserve">. 25; </w:t>
      </w:r>
      <w:proofErr w:type="spellStart"/>
      <w:r w:rsidRPr="00E66CF8">
        <w:rPr>
          <w:rFonts w:ascii="Times New Roman" w:hAnsi="Times New Roman" w:cs="Times New Roman"/>
          <w:i/>
          <w:sz w:val="20"/>
          <w:szCs w:val="20"/>
        </w:rPr>
        <w:t>Kreße</w:t>
      </w:r>
      <w:proofErr w:type="spellEnd"/>
      <w:r w:rsidRPr="00E66CF8">
        <w:rPr>
          <w:rFonts w:ascii="Times New Roman" w:hAnsi="Times New Roman" w:cs="Times New Roman"/>
          <w:sz w:val="20"/>
          <w:szCs w:val="20"/>
        </w:rPr>
        <w:t xml:space="preserve">, </w:t>
      </w:r>
      <w:r>
        <w:rPr>
          <w:rFonts w:ascii="Times New Roman" w:hAnsi="Times New Roman" w:cs="Times New Roman"/>
          <w:sz w:val="20"/>
          <w:szCs w:val="20"/>
        </w:rPr>
        <w:t>European Union Private Law Review,</w:t>
      </w:r>
      <w:r w:rsidRPr="00E66CF8">
        <w:rPr>
          <w:rFonts w:ascii="Times New Roman" w:hAnsi="Times New Roman" w:cs="Times New Roman"/>
          <w:sz w:val="20"/>
          <w:szCs w:val="20"/>
        </w:rPr>
        <w:t xml:space="preserve"> 2018, </w:t>
      </w:r>
      <w:r>
        <w:rPr>
          <w:rFonts w:ascii="Times New Roman" w:hAnsi="Times New Roman" w:cs="Times New Roman"/>
          <w:sz w:val="20"/>
          <w:szCs w:val="20"/>
        </w:rPr>
        <w:t>210 et seq</w:t>
      </w:r>
      <w:r w:rsidRPr="00E66CF8">
        <w:rPr>
          <w:rFonts w:ascii="Times New Roman" w:hAnsi="Times New Roman" w:cs="Times New Roman"/>
          <w:sz w:val="20"/>
          <w:szCs w:val="20"/>
        </w:rPr>
        <w:t>.</w:t>
      </w:r>
    </w:p>
  </w:footnote>
  <w:footnote w:id="15">
    <w:p w14:paraId="77B1953F" w14:textId="4FBA44C0" w:rsidR="00D13078" w:rsidRPr="00E66CF8" w:rsidRDefault="00D13078" w:rsidP="00D822A2">
      <w:pPr>
        <w:pStyle w:val="Funotentext"/>
        <w:jc w:val="both"/>
        <w:rPr>
          <w:rFonts w:ascii="Times New Roman" w:hAnsi="Times New Roman" w:cs="Times New Roman"/>
          <w:sz w:val="20"/>
          <w:szCs w:val="20"/>
        </w:rPr>
      </w:pPr>
      <w:r w:rsidRPr="00E66CF8">
        <w:rPr>
          <w:rStyle w:val="Funotenzeichen"/>
          <w:rFonts w:ascii="Times New Roman" w:hAnsi="Times New Roman" w:cs="Times New Roman"/>
          <w:sz w:val="20"/>
          <w:szCs w:val="20"/>
        </w:rPr>
        <w:footnoteRef/>
      </w:r>
      <w:r w:rsidRPr="00E66CF8">
        <w:rPr>
          <w:rFonts w:ascii="Times New Roman" w:hAnsi="Times New Roman" w:cs="Times New Roman"/>
          <w:sz w:val="20"/>
          <w:szCs w:val="20"/>
        </w:rPr>
        <w:t xml:space="preserve"> E</w:t>
      </w:r>
      <w:r>
        <w:rPr>
          <w:rFonts w:ascii="Times New Roman" w:hAnsi="Times New Roman" w:cs="Times New Roman"/>
          <w:sz w:val="20"/>
          <w:szCs w:val="20"/>
        </w:rPr>
        <w:t>CJ</w:t>
      </w:r>
      <w:r w:rsidRPr="00E66CF8">
        <w:rPr>
          <w:rFonts w:ascii="Times New Roman" w:hAnsi="Times New Roman" w:cs="Times New Roman"/>
          <w:sz w:val="20"/>
          <w:szCs w:val="20"/>
        </w:rPr>
        <w:t xml:space="preserve"> </w:t>
      </w:r>
      <w:r>
        <w:rPr>
          <w:rFonts w:ascii="Times New Roman" w:hAnsi="Times New Roman" w:cs="Times New Roman"/>
          <w:sz w:val="20"/>
          <w:szCs w:val="20"/>
        </w:rPr>
        <w:t>11/21/</w:t>
      </w:r>
      <w:r w:rsidRPr="00E66CF8">
        <w:rPr>
          <w:rFonts w:ascii="Times New Roman" w:hAnsi="Times New Roman" w:cs="Times New Roman"/>
          <w:sz w:val="20"/>
          <w:szCs w:val="20"/>
        </w:rPr>
        <w:t>2013 – C-284</w:t>
      </w:r>
      <w:r w:rsidRPr="00D822A2">
        <w:rPr>
          <w:rFonts w:ascii="Times New Roman" w:hAnsi="Times New Roman" w:cs="Times New Roman"/>
          <w:sz w:val="20"/>
          <w:szCs w:val="20"/>
        </w:rPr>
        <w:t xml:space="preserve">/12, </w:t>
      </w:r>
      <w:r w:rsidRPr="00D822A2">
        <w:rPr>
          <w:rFonts w:ascii="Times New Roman" w:hAnsi="Times New Roman" w:cs="Times New Roman"/>
          <w:sz w:val="20"/>
          <w:szCs w:val="20"/>
          <w:lang w:val="en-US"/>
        </w:rPr>
        <w:t>ECLI:EU:C:2013:755</w:t>
      </w:r>
      <w:r w:rsidRPr="00D822A2">
        <w:rPr>
          <w:rFonts w:ascii="Times New Roman" w:hAnsi="Times New Roman" w:cs="Times New Roman"/>
          <w:sz w:val="20"/>
          <w:szCs w:val="20"/>
        </w:rPr>
        <w:t xml:space="preserve"> </w:t>
      </w:r>
      <w:r>
        <w:rPr>
          <w:rFonts w:ascii="Times New Roman" w:hAnsi="Times New Roman" w:cs="Times New Roman"/>
          <w:sz w:val="20"/>
          <w:szCs w:val="20"/>
        </w:rPr>
        <w:t>nos</w:t>
      </w:r>
      <w:r w:rsidRPr="00E66CF8">
        <w:rPr>
          <w:rFonts w:ascii="Times New Roman" w:hAnsi="Times New Roman" w:cs="Times New Roman"/>
          <w:sz w:val="20"/>
          <w:szCs w:val="20"/>
        </w:rPr>
        <w:t xml:space="preserve">. 38 </w:t>
      </w:r>
      <w:r>
        <w:rPr>
          <w:rFonts w:ascii="Times New Roman" w:hAnsi="Times New Roman" w:cs="Times New Roman"/>
          <w:sz w:val="20"/>
          <w:szCs w:val="20"/>
        </w:rPr>
        <w:t>et seq</w:t>
      </w:r>
      <w:r w:rsidRPr="00E66CF8">
        <w:rPr>
          <w:rFonts w:ascii="Times New Roman" w:hAnsi="Times New Roman" w:cs="Times New Roman"/>
          <w:sz w:val="20"/>
          <w:szCs w:val="20"/>
        </w:rPr>
        <w:t xml:space="preserve">. – Lufthansa; </w:t>
      </w:r>
      <w:r>
        <w:rPr>
          <w:rFonts w:ascii="Times New Roman" w:hAnsi="Times New Roman" w:cs="Times New Roman"/>
          <w:sz w:val="20"/>
          <w:szCs w:val="20"/>
        </w:rPr>
        <w:t>4/4/</w:t>
      </w:r>
      <w:r w:rsidRPr="00E66CF8">
        <w:rPr>
          <w:rFonts w:ascii="Times New Roman" w:hAnsi="Times New Roman" w:cs="Times New Roman"/>
          <w:sz w:val="20"/>
          <w:szCs w:val="20"/>
        </w:rPr>
        <w:t>2014 – C-27/13</w:t>
      </w:r>
      <w:r>
        <w:rPr>
          <w:rFonts w:ascii="Times New Roman" w:hAnsi="Times New Roman" w:cs="Times New Roman"/>
          <w:sz w:val="20"/>
          <w:szCs w:val="20"/>
        </w:rPr>
        <w:t>,</w:t>
      </w:r>
      <w:r w:rsidRPr="00D822A2">
        <w:rPr>
          <w:rFonts w:ascii="Times New Roman" w:hAnsi="Times New Roman" w:cs="Times New Roman"/>
          <w:sz w:val="20"/>
          <w:szCs w:val="20"/>
        </w:rPr>
        <w:t xml:space="preserve"> </w:t>
      </w:r>
      <w:r w:rsidRPr="00D822A2">
        <w:rPr>
          <w:rFonts w:ascii="Times New Roman" w:hAnsi="Times New Roman" w:cs="Times New Roman"/>
          <w:sz w:val="20"/>
          <w:szCs w:val="20"/>
          <w:lang w:val="en-US"/>
        </w:rPr>
        <w:t>ECLI:EU:C:2014:240</w:t>
      </w:r>
      <w:r w:rsidRPr="00E66CF8">
        <w:rPr>
          <w:rFonts w:ascii="Times New Roman" w:hAnsi="Times New Roman" w:cs="Times New Roman"/>
          <w:sz w:val="20"/>
          <w:szCs w:val="20"/>
        </w:rPr>
        <w:t xml:space="preserve"> </w:t>
      </w:r>
      <w:r>
        <w:rPr>
          <w:rFonts w:ascii="Times New Roman" w:hAnsi="Times New Roman" w:cs="Times New Roman"/>
          <w:sz w:val="20"/>
          <w:szCs w:val="20"/>
        </w:rPr>
        <w:t>nos</w:t>
      </w:r>
      <w:r w:rsidRPr="00E66CF8">
        <w:rPr>
          <w:rFonts w:ascii="Times New Roman" w:hAnsi="Times New Roman" w:cs="Times New Roman"/>
          <w:sz w:val="20"/>
          <w:szCs w:val="20"/>
        </w:rPr>
        <w:t xml:space="preserve">. 21 </w:t>
      </w:r>
      <w:r>
        <w:rPr>
          <w:rFonts w:ascii="Times New Roman" w:hAnsi="Times New Roman" w:cs="Times New Roman"/>
          <w:sz w:val="20"/>
          <w:szCs w:val="20"/>
        </w:rPr>
        <w:t>et seq</w:t>
      </w:r>
      <w:r w:rsidRPr="00E66CF8">
        <w:rPr>
          <w:rFonts w:ascii="Times New Roman" w:hAnsi="Times New Roman" w:cs="Times New Roman"/>
          <w:sz w:val="20"/>
          <w:szCs w:val="20"/>
        </w:rPr>
        <w:t xml:space="preserve">. – Flughafen Lübeck; BGH </w:t>
      </w:r>
      <w:r>
        <w:rPr>
          <w:rFonts w:ascii="Times New Roman" w:hAnsi="Times New Roman" w:cs="Times New Roman"/>
          <w:sz w:val="20"/>
          <w:szCs w:val="20"/>
        </w:rPr>
        <w:t>2/9/</w:t>
      </w:r>
      <w:r w:rsidRPr="00E66CF8">
        <w:rPr>
          <w:rFonts w:ascii="Times New Roman" w:hAnsi="Times New Roman" w:cs="Times New Roman"/>
          <w:sz w:val="20"/>
          <w:szCs w:val="20"/>
        </w:rPr>
        <w:t>2017 – I ZR 91/15, Eu</w:t>
      </w:r>
      <w:r>
        <w:rPr>
          <w:rFonts w:ascii="Times New Roman" w:hAnsi="Times New Roman" w:cs="Times New Roman"/>
          <w:sz w:val="20"/>
          <w:szCs w:val="20"/>
        </w:rPr>
        <w:t>ropäische Zeitschrift für Wirtschaftsrecht,</w:t>
      </w:r>
      <w:r w:rsidRPr="00E66CF8">
        <w:rPr>
          <w:rFonts w:ascii="Times New Roman" w:hAnsi="Times New Roman" w:cs="Times New Roman"/>
          <w:sz w:val="20"/>
          <w:szCs w:val="20"/>
        </w:rPr>
        <w:t xml:space="preserve"> 2017, 312 </w:t>
      </w:r>
      <w:proofErr w:type="spellStart"/>
      <w:r>
        <w:rPr>
          <w:rFonts w:ascii="Times New Roman" w:hAnsi="Times New Roman" w:cs="Times New Roman"/>
          <w:sz w:val="20"/>
          <w:szCs w:val="20"/>
        </w:rPr>
        <w:t>no</w:t>
      </w:r>
      <w:proofErr w:type="spellEnd"/>
      <w:r w:rsidRPr="00E66CF8">
        <w:rPr>
          <w:rFonts w:ascii="Times New Roman" w:hAnsi="Times New Roman" w:cs="Times New Roman"/>
          <w:sz w:val="20"/>
          <w:szCs w:val="20"/>
        </w:rPr>
        <w:t xml:space="preserve">. 35 – Flughafen Lübeck; </w:t>
      </w:r>
      <w:proofErr w:type="spellStart"/>
      <w:r>
        <w:rPr>
          <w:rFonts w:ascii="Times New Roman" w:hAnsi="Times New Roman" w:cs="Times New Roman"/>
          <w:sz w:val="20"/>
          <w:szCs w:val="20"/>
        </w:rPr>
        <w:t>concerning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binding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effect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of</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Commission’s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dec</w:t>
      </w:r>
      <w:r>
        <w:rPr>
          <w:rFonts w:ascii="Times New Roman" w:hAnsi="Times New Roman" w:cs="Times New Roman"/>
          <w:sz w:val="20"/>
          <w:szCs w:val="20"/>
        </w:rPr>
        <w:t>i</w:t>
      </w:r>
      <w:r>
        <w:rPr>
          <w:rFonts w:ascii="Times New Roman" w:hAnsi="Times New Roman" w:cs="Times New Roman"/>
          <w:sz w:val="20"/>
          <w:szCs w:val="20"/>
        </w:rPr>
        <w:t>sions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initiate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formal </w:t>
      </w:r>
      <w:proofErr w:type="spellStart"/>
      <w:r>
        <w:rPr>
          <w:rFonts w:ascii="Times New Roman" w:hAnsi="Times New Roman" w:cs="Times New Roman"/>
          <w:sz w:val="20"/>
          <w:szCs w:val="20"/>
        </w:rPr>
        <w:t>investigation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procedure</w:t>
      </w:r>
      <w:proofErr w:type="spellEnd"/>
      <w:r w:rsidRPr="00E66CF8">
        <w:rPr>
          <w:rFonts w:ascii="Times New Roman" w:hAnsi="Times New Roman" w:cs="Times New Roman"/>
          <w:sz w:val="20"/>
          <w:szCs w:val="20"/>
        </w:rPr>
        <w:t xml:space="preserve"> </w:t>
      </w:r>
      <w:proofErr w:type="spellStart"/>
      <w:r w:rsidRPr="00E66CF8">
        <w:rPr>
          <w:rFonts w:ascii="Times New Roman" w:hAnsi="Times New Roman" w:cs="Times New Roman"/>
          <w:i/>
          <w:sz w:val="20"/>
          <w:szCs w:val="20"/>
        </w:rPr>
        <w:t>Kreße</w:t>
      </w:r>
      <w:proofErr w:type="spellEnd"/>
      <w:r w:rsidRPr="004A48B6">
        <w:rPr>
          <w:rFonts w:ascii="Times New Roman" w:hAnsi="Times New Roman" w:cs="Times New Roman"/>
          <w:sz w:val="20"/>
          <w:szCs w:val="20"/>
        </w:rPr>
        <w:t>,</w:t>
      </w:r>
      <w:r w:rsidRPr="00E66CF8">
        <w:rPr>
          <w:rFonts w:ascii="Times New Roman" w:hAnsi="Times New Roman" w:cs="Times New Roman"/>
          <w:sz w:val="20"/>
          <w:szCs w:val="20"/>
        </w:rPr>
        <w:t xml:space="preserve"> W</w:t>
      </w:r>
      <w:r>
        <w:rPr>
          <w:rFonts w:ascii="Times New Roman" w:hAnsi="Times New Roman" w:cs="Times New Roman"/>
          <w:sz w:val="20"/>
          <w:szCs w:val="20"/>
        </w:rPr>
        <w:t>ettbewerb in Recht und Praxis,</w:t>
      </w:r>
      <w:r w:rsidRPr="00E66CF8">
        <w:rPr>
          <w:rFonts w:ascii="Times New Roman" w:hAnsi="Times New Roman" w:cs="Times New Roman"/>
          <w:sz w:val="20"/>
          <w:szCs w:val="20"/>
        </w:rPr>
        <w:t xml:space="preserve"> 2017, 663 </w:t>
      </w:r>
      <w:r>
        <w:rPr>
          <w:rFonts w:ascii="Times New Roman" w:hAnsi="Times New Roman" w:cs="Times New Roman"/>
          <w:sz w:val="20"/>
          <w:szCs w:val="20"/>
        </w:rPr>
        <w:t>et seq</w:t>
      </w:r>
      <w:r w:rsidRPr="00E66CF8">
        <w:rPr>
          <w:rFonts w:ascii="Times New Roman" w:hAnsi="Times New Roman" w:cs="Times New Roman"/>
          <w:sz w:val="20"/>
          <w:szCs w:val="20"/>
        </w:rPr>
        <w:t xml:space="preserve">.; </w:t>
      </w:r>
      <w:proofErr w:type="spellStart"/>
      <w:r>
        <w:rPr>
          <w:rFonts w:ascii="Times New Roman" w:hAnsi="Times New Roman" w:cs="Times New Roman"/>
          <w:sz w:val="20"/>
          <w:szCs w:val="20"/>
        </w:rPr>
        <w:t>see</w:t>
      </w:r>
      <w:proofErr w:type="spellEnd"/>
      <w:r>
        <w:rPr>
          <w:rFonts w:ascii="Times New Roman" w:hAnsi="Times New Roman" w:cs="Times New Roman"/>
          <w:sz w:val="20"/>
          <w:szCs w:val="20"/>
        </w:rPr>
        <w:t xml:space="preserve"> also</w:t>
      </w:r>
      <w:r w:rsidRPr="00E66CF8">
        <w:rPr>
          <w:rFonts w:ascii="Times New Roman" w:hAnsi="Times New Roman" w:cs="Times New Roman"/>
          <w:sz w:val="20"/>
          <w:szCs w:val="20"/>
        </w:rPr>
        <w:t xml:space="preserve"> </w:t>
      </w:r>
      <w:proofErr w:type="spellStart"/>
      <w:r w:rsidRPr="00E66CF8">
        <w:rPr>
          <w:rFonts w:ascii="Times New Roman" w:hAnsi="Times New Roman" w:cs="Times New Roman"/>
          <w:i/>
          <w:sz w:val="20"/>
          <w:szCs w:val="20"/>
        </w:rPr>
        <w:t>Kreße</w:t>
      </w:r>
      <w:proofErr w:type="spellEnd"/>
      <w:r w:rsidRPr="004A48B6">
        <w:rPr>
          <w:rFonts w:ascii="Times New Roman" w:hAnsi="Times New Roman" w:cs="Times New Roman"/>
          <w:sz w:val="20"/>
          <w:szCs w:val="20"/>
        </w:rPr>
        <w:t>,</w:t>
      </w:r>
      <w:r w:rsidRPr="00E66CF8">
        <w:rPr>
          <w:rFonts w:ascii="Times New Roman" w:hAnsi="Times New Roman" w:cs="Times New Roman"/>
          <w:sz w:val="20"/>
          <w:szCs w:val="20"/>
        </w:rPr>
        <w:t xml:space="preserve"> </w:t>
      </w:r>
      <w:r>
        <w:rPr>
          <w:rFonts w:ascii="Times New Roman" w:hAnsi="Times New Roman" w:cs="Times New Roman"/>
          <w:sz w:val="20"/>
          <w:szCs w:val="20"/>
        </w:rPr>
        <w:t>European Union Private Law Review</w:t>
      </w:r>
      <w:r w:rsidRPr="00E66CF8">
        <w:rPr>
          <w:rFonts w:ascii="Times New Roman" w:hAnsi="Times New Roman" w:cs="Times New Roman"/>
          <w:sz w:val="20"/>
          <w:szCs w:val="20"/>
        </w:rPr>
        <w:t xml:space="preserve"> 2018, </w:t>
      </w:r>
      <w:r>
        <w:rPr>
          <w:rFonts w:ascii="Times New Roman" w:hAnsi="Times New Roman" w:cs="Times New Roman"/>
          <w:sz w:val="20"/>
          <w:szCs w:val="20"/>
        </w:rPr>
        <w:t>210 (p. 211)</w:t>
      </w:r>
      <w:r w:rsidRPr="00E66CF8">
        <w:rPr>
          <w:rFonts w:ascii="Times New Roman" w:hAnsi="Times New Roman" w:cs="Times New Roman"/>
          <w:sz w:val="20"/>
          <w:szCs w:val="20"/>
        </w:rPr>
        <w:t>.</w:t>
      </w:r>
    </w:p>
  </w:footnote>
  <w:footnote w:id="16">
    <w:p w14:paraId="19DB361A" w14:textId="486935D3" w:rsidR="00D13078" w:rsidRPr="00D7333C" w:rsidRDefault="00D13078" w:rsidP="00E20828">
      <w:pPr>
        <w:pStyle w:val="Funotentext"/>
        <w:jc w:val="both"/>
        <w:rPr>
          <w:rFonts w:ascii="Times New Roman" w:hAnsi="Times New Roman" w:cs="Times New Roman"/>
          <w:sz w:val="20"/>
          <w:szCs w:val="20"/>
          <w:lang w:val="en-US"/>
        </w:rPr>
      </w:pPr>
      <w:r w:rsidRPr="00D7333C">
        <w:rPr>
          <w:rStyle w:val="Funotenzeichen"/>
          <w:rFonts w:ascii="Times New Roman" w:hAnsi="Times New Roman" w:cs="Times New Roman"/>
          <w:sz w:val="20"/>
          <w:szCs w:val="20"/>
          <w:lang w:val="en-US"/>
        </w:rPr>
        <w:footnoteRef/>
      </w:r>
      <w:r w:rsidRPr="00D7333C">
        <w:rPr>
          <w:rFonts w:ascii="Times New Roman" w:hAnsi="Times New Roman" w:cs="Times New Roman"/>
          <w:sz w:val="20"/>
          <w:szCs w:val="20"/>
          <w:lang w:val="en-US"/>
        </w:rPr>
        <w:t xml:space="preserve"> </w:t>
      </w:r>
      <w:proofErr w:type="spellStart"/>
      <w:proofErr w:type="gramStart"/>
      <w:r w:rsidRPr="00D7333C">
        <w:rPr>
          <w:rFonts w:ascii="Times New Roman" w:hAnsi="Times New Roman" w:cs="Times New Roman"/>
          <w:i/>
          <w:sz w:val="20"/>
          <w:szCs w:val="20"/>
          <w:lang w:val="en-US"/>
        </w:rPr>
        <w:t>Ludwigs</w:t>
      </w:r>
      <w:proofErr w:type="spellEnd"/>
      <w:r w:rsidRPr="004A48B6">
        <w:rPr>
          <w:rFonts w:ascii="Times New Roman" w:hAnsi="Times New Roman" w:cs="Times New Roman"/>
          <w:sz w:val="20"/>
          <w:szCs w:val="20"/>
          <w:lang w:val="en-US"/>
        </w:rPr>
        <w:t>,</w:t>
      </w:r>
      <w:r w:rsidRPr="00D7333C">
        <w:rPr>
          <w:rFonts w:ascii="Times New Roman" w:hAnsi="Times New Roman" w:cs="Times New Roman"/>
          <w:i/>
          <w:sz w:val="20"/>
          <w:szCs w:val="20"/>
          <w:lang w:val="en-US"/>
        </w:rPr>
        <w:t xml:space="preserve"> </w:t>
      </w:r>
      <w:r w:rsidRPr="00D7333C">
        <w:rPr>
          <w:rFonts w:ascii="Times New Roman" w:hAnsi="Times New Roman" w:cs="Times New Roman"/>
          <w:sz w:val="20"/>
          <w:szCs w:val="20"/>
          <w:lang w:val="en-US"/>
        </w:rPr>
        <w:t xml:space="preserve">in </w:t>
      </w:r>
      <w:proofErr w:type="spellStart"/>
      <w:r w:rsidRPr="00D7333C">
        <w:rPr>
          <w:rFonts w:ascii="Times New Roman" w:hAnsi="Times New Roman" w:cs="Times New Roman"/>
          <w:sz w:val="20"/>
          <w:szCs w:val="20"/>
          <w:lang w:val="en-US"/>
        </w:rPr>
        <w:t>Münchener</w:t>
      </w:r>
      <w:proofErr w:type="spellEnd"/>
      <w:r w:rsidRPr="00D7333C">
        <w:rPr>
          <w:rFonts w:ascii="Times New Roman" w:hAnsi="Times New Roman" w:cs="Times New Roman"/>
          <w:sz w:val="20"/>
          <w:szCs w:val="20"/>
          <w:lang w:val="en-US"/>
        </w:rPr>
        <w:t xml:space="preserve"> </w:t>
      </w:r>
      <w:proofErr w:type="spellStart"/>
      <w:r w:rsidRPr="00D7333C">
        <w:rPr>
          <w:rFonts w:ascii="Times New Roman" w:hAnsi="Times New Roman" w:cs="Times New Roman"/>
          <w:sz w:val="20"/>
          <w:szCs w:val="20"/>
          <w:lang w:val="en-US"/>
        </w:rPr>
        <w:t>Kommentar</w:t>
      </w:r>
      <w:proofErr w:type="spellEnd"/>
      <w:r w:rsidRPr="00D7333C">
        <w:rPr>
          <w:rFonts w:ascii="Times New Roman" w:hAnsi="Times New Roman" w:cs="Times New Roman"/>
          <w:sz w:val="20"/>
          <w:szCs w:val="20"/>
          <w:lang w:val="en-US"/>
        </w:rPr>
        <w:t xml:space="preserve"> </w:t>
      </w:r>
      <w:proofErr w:type="spellStart"/>
      <w:r w:rsidRPr="00D7333C">
        <w:rPr>
          <w:rFonts w:ascii="Times New Roman" w:hAnsi="Times New Roman" w:cs="Times New Roman"/>
          <w:sz w:val="20"/>
          <w:szCs w:val="20"/>
          <w:lang w:val="en-US"/>
        </w:rPr>
        <w:t>zum</w:t>
      </w:r>
      <w:proofErr w:type="spellEnd"/>
      <w:r w:rsidRPr="00D7333C">
        <w:rPr>
          <w:rFonts w:ascii="Times New Roman" w:hAnsi="Times New Roman" w:cs="Times New Roman"/>
          <w:sz w:val="20"/>
          <w:szCs w:val="20"/>
          <w:lang w:val="en-US"/>
        </w:rPr>
        <w:t xml:space="preserve"> </w:t>
      </w:r>
      <w:proofErr w:type="spellStart"/>
      <w:r w:rsidRPr="00D7333C">
        <w:rPr>
          <w:rFonts w:ascii="Times New Roman" w:hAnsi="Times New Roman" w:cs="Times New Roman"/>
          <w:sz w:val="20"/>
          <w:szCs w:val="20"/>
          <w:lang w:val="en-US"/>
        </w:rPr>
        <w:t>Kartellrecht</w:t>
      </w:r>
      <w:proofErr w:type="spellEnd"/>
      <w:r w:rsidRPr="00D7333C">
        <w:rPr>
          <w:rFonts w:ascii="Times New Roman" w:hAnsi="Times New Roman" w:cs="Times New Roman"/>
          <w:sz w:val="20"/>
          <w:szCs w:val="20"/>
          <w:lang w:val="en-US"/>
        </w:rPr>
        <w:t>, vol. 5, 2</w:t>
      </w:r>
      <w:r w:rsidRPr="00D7333C">
        <w:rPr>
          <w:rFonts w:ascii="Times New Roman" w:hAnsi="Times New Roman" w:cs="Times New Roman"/>
          <w:sz w:val="20"/>
          <w:szCs w:val="20"/>
          <w:vertAlign w:val="superscript"/>
          <w:lang w:val="en-US"/>
        </w:rPr>
        <w:t>nd</w:t>
      </w:r>
      <w:r>
        <w:rPr>
          <w:rFonts w:ascii="Times New Roman" w:hAnsi="Times New Roman" w:cs="Times New Roman"/>
          <w:sz w:val="20"/>
          <w:szCs w:val="20"/>
          <w:lang w:val="en-US"/>
        </w:rPr>
        <w:t xml:space="preserve"> </w:t>
      </w:r>
      <w:r w:rsidRPr="00D7333C">
        <w:rPr>
          <w:rFonts w:ascii="Times New Roman" w:hAnsi="Times New Roman" w:cs="Times New Roman"/>
          <w:sz w:val="20"/>
          <w:szCs w:val="20"/>
          <w:lang w:val="en-US"/>
        </w:rPr>
        <w:t>ed. 2018, TFEU Art.</w:t>
      </w:r>
      <w:proofErr w:type="gramEnd"/>
      <w:r w:rsidRPr="00D7333C">
        <w:rPr>
          <w:rFonts w:ascii="Times New Roman" w:hAnsi="Times New Roman" w:cs="Times New Roman"/>
          <w:sz w:val="20"/>
          <w:szCs w:val="20"/>
          <w:lang w:val="en-US"/>
        </w:rPr>
        <w:t xml:space="preserve"> </w:t>
      </w:r>
      <w:proofErr w:type="gramStart"/>
      <w:r w:rsidRPr="00D7333C">
        <w:rPr>
          <w:rFonts w:ascii="Times New Roman" w:hAnsi="Times New Roman" w:cs="Times New Roman"/>
          <w:sz w:val="20"/>
          <w:szCs w:val="20"/>
          <w:lang w:val="en-US"/>
        </w:rPr>
        <w:t xml:space="preserve">107 no. 7; </w:t>
      </w:r>
      <w:proofErr w:type="spellStart"/>
      <w:r w:rsidRPr="00D7333C">
        <w:rPr>
          <w:rFonts w:ascii="Times New Roman" w:hAnsi="Times New Roman" w:cs="Times New Roman"/>
          <w:i/>
          <w:sz w:val="20"/>
          <w:szCs w:val="20"/>
          <w:lang w:val="en-US"/>
        </w:rPr>
        <w:t>Bartosch</w:t>
      </w:r>
      <w:proofErr w:type="spellEnd"/>
      <w:r w:rsidRPr="004A48B6">
        <w:rPr>
          <w:rFonts w:ascii="Times New Roman" w:hAnsi="Times New Roman" w:cs="Times New Roman"/>
          <w:sz w:val="20"/>
          <w:szCs w:val="20"/>
          <w:lang w:val="en-US"/>
        </w:rPr>
        <w:t>,</w:t>
      </w:r>
      <w:r w:rsidRPr="00D7333C">
        <w:rPr>
          <w:rFonts w:ascii="Times New Roman" w:hAnsi="Times New Roman" w:cs="Times New Roman"/>
          <w:sz w:val="20"/>
          <w:szCs w:val="20"/>
          <w:lang w:val="en-US"/>
        </w:rPr>
        <w:t xml:space="preserve"> EU-</w:t>
      </w:r>
      <w:proofErr w:type="spellStart"/>
      <w:r w:rsidRPr="00D7333C">
        <w:rPr>
          <w:rFonts w:ascii="Times New Roman" w:hAnsi="Times New Roman" w:cs="Times New Roman"/>
          <w:sz w:val="20"/>
          <w:szCs w:val="20"/>
          <w:lang w:val="en-US"/>
        </w:rPr>
        <w:t>Beihilfenrecht</w:t>
      </w:r>
      <w:proofErr w:type="spellEnd"/>
      <w:r w:rsidRPr="00D7333C">
        <w:rPr>
          <w:rFonts w:ascii="Times New Roman" w:hAnsi="Times New Roman" w:cs="Times New Roman"/>
          <w:sz w:val="20"/>
          <w:szCs w:val="20"/>
          <w:lang w:val="en-US"/>
        </w:rPr>
        <w:t>, 2</w:t>
      </w:r>
      <w:r w:rsidRPr="00D7333C">
        <w:rPr>
          <w:rFonts w:ascii="Times New Roman" w:hAnsi="Times New Roman" w:cs="Times New Roman"/>
          <w:sz w:val="20"/>
          <w:szCs w:val="20"/>
          <w:vertAlign w:val="superscript"/>
          <w:lang w:val="en-US"/>
        </w:rPr>
        <w:t>nd</w:t>
      </w:r>
      <w:r>
        <w:rPr>
          <w:rFonts w:ascii="Times New Roman" w:hAnsi="Times New Roman" w:cs="Times New Roman"/>
          <w:sz w:val="20"/>
          <w:szCs w:val="20"/>
          <w:lang w:val="en-US"/>
        </w:rPr>
        <w:t xml:space="preserve"> </w:t>
      </w:r>
      <w:r w:rsidRPr="00D7333C">
        <w:rPr>
          <w:rFonts w:ascii="Times New Roman" w:hAnsi="Times New Roman" w:cs="Times New Roman"/>
          <w:sz w:val="20"/>
          <w:szCs w:val="20"/>
          <w:lang w:val="en-US"/>
        </w:rPr>
        <w:t xml:space="preserve">ed. 2016, Section A. no. 38; </w:t>
      </w:r>
      <w:r w:rsidRPr="00D7333C">
        <w:rPr>
          <w:rFonts w:ascii="Times New Roman" w:hAnsi="Times New Roman" w:cs="Times New Roman"/>
          <w:i/>
          <w:sz w:val="20"/>
          <w:szCs w:val="20"/>
          <w:lang w:val="en-US"/>
        </w:rPr>
        <w:t>Cremer</w:t>
      </w:r>
      <w:r w:rsidRPr="004A48B6">
        <w:rPr>
          <w:rFonts w:ascii="Times New Roman" w:hAnsi="Times New Roman" w:cs="Times New Roman"/>
          <w:sz w:val="20"/>
          <w:szCs w:val="20"/>
          <w:lang w:val="en-US"/>
        </w:rPr>
        <w:t>,</w:t>
      </w:r>
      <w:r w:rsidRPr="00D7333C">
        <w:rPr>
          <w:rFonts w:ascii="Times New Roman" w:hAnsi="Times New Roman" w:cs="Times New Roman"/>
          <w:sz w:val="20"/>
          <w:szCs w:val="20"/>
          <w:lang w:val="en-US"/>
        </w:rPr>
        <w:t xml:space="preserve"> in </w:t>
      </w:r>
      <w:proofErr w:type="spellStart"/>
      <w:r w:rsidRPr="00D7333C">
        <w:rPr>
          <w:rFonts w:ascii="Times New Roman" w:hAnsi="Times New Roman" w:cs="Times New Roman"/>
          <w:sz w:val="20"/>
          <w:szCs w:val="20"/>
          <w:lang w:val="en-US"/>
        </w:rPr>
        <w:t>Calliess</w:t>
      </w:r>
      <w:proofErr w:type="spellEnd"/>
      <w:r w:rsidRPr="00D7333C">
        <w:rPr>
          <w:rFonts w:ascii="Times New Roman" w:hAnsi="Times New Roman" w:cs="Times New Roman"/>
          <w:sz w:val="20"/>
          <w:szCs w:val="20"/>
          <w:lang w:val="en-US"/>
        </w:rPr>
        <w:t>/</w:t>
      </w:r>
      <w:proofErr w:type="spellStart"/>
      <w:r w:rsidRPr="00D7333C">
        <w:rPr>
          <w:rFonts w:ascii="Times New Roman" w:hAnsi="Times New Roman" w:cs="Times New Roman"/>
          <w:sz w:val="20"/>
          <w:szCs w:val="20"/>
          <w:lang w:val="en-US"/>
        </w:rPr>
        <w:t>Ruffert</w:t>
      </w:r>
      <w:proofErr w:type="spellEnd"/>
      <w:r w:rsidRPr="00D7333C">
        <w:rPr>
          <w:rFonts w:ascii="Times New Roman" w:hAnsi="Times New Roman" w:cs="Times New Roman"/>
          <w:sz w:val="20"/>
          <w:szCs w:val="20"/>
          <w:lang w:val="en-US"/>
        </w:rPr>
        <w:t>, 5</w:t>
      </w:r>
      <w:r w:rsidRPr="00D7333C">
        <w:rPr>
          <w:rFonts w:ascii="Times New Roman" w:hAnsi="Times New Roman" w:cs="Times New Roman"/>
          <w:sz w:val="20"/>
          <w:szCs w:val="20"/>
          <w:vertAlign w:val="superscript"/>
          <w:lang w:val="en-US"/>
        </w:rPr>
        <w:t>th</w:t>
      </w:r>
      <w:r>
        <w:rPr>
          <w:rFonts w:ascii="Times New Roman" w:hAnsi="Times New Roman" w:cs="Times New Roman"/>
          <w:sz w:val="20"/>
          <w:szCs w:val="20"/>
          <w:lang w:val="en-US"/>
        </w:rPr>
        <w:t xml:space="preserve"> </w:t>
      </w:r>
      <w:r w:rsidRPr="00D7333C">
        <w:rPr>
          <w:rFonts w:ascii="Times New Roman" w:hAnsi="Times New Roman" w:cs="Times New Roman"/>
          <w:sz w:val="20"/>
          <w:szCs w:val="20"/>
          <w:lang w:val="en-US"/>
        </w:rPr>
        <w:t>ed. 2016, TFEU Art.</w:t>
      </w:r>
      <w:proofErr w:type="gramEnd"/>
      <w:r w:rsidRPr="00D7333C">
        <w:rPr>
          <w:rFonts w:ascii="Times New Roman" w:hAnsi="Times New Roman" w:cs="Times New Roman"/>
          <w:sz w:val="20"/>
          <w:szCs w:val="20"/>
          <w:lang w:val="en-US"/>
        </w:rPr>
        <w:t xml:space="preserve"> </w:t>
      </w:r>
      <w:proofErr w:type="gramStart"/>
      <w:r w:rsidRPr="00D7333C">
        <w:rPr>
          <w:rFonts w:ascii="Times New Roman" w:hAnsi="Times New Roman" w:cs="Times New Roman"/>
          <w:sz w:val="20"/>
          <w:szCs w:val="20"/>
          <w:lang w:val="en-US"/>
        </w:rPr>
        <w:t xml:space="preserve">107 no.6; </w:t>
      </w:r>
      <w:proofErr w:type="spellStart"/>
      <w:r w:rsidRPr="00D7333C">
        <w:rPr>
          <w:rFonts w:ascii="Times New Roman" w:hAnsi="Times New Roman" w:cs="Times New Roman"/>
          <w:i/>
          <w:sz w:val="20"/>
          <w:szCs w:val="20"/>
          <w:lang w:val="en-US"/>
        </w:rPr>
        <w:t>Mederer</w:t>
      </w:r>
      <w:proofErr w:type="spellEnd"/>
      <w:r w:rsidRPr="004A48B6">
        <w:rPr>
          <w:rFonts w:ascii="Times New Roman" w:hAnsi="Times New Roman" w:cs="Times New Roman"/>
          <w:sz w:val="20"/>
          <w:szCs w:val="20"/>
          <w:lang w:val="en-US"/>
        </w:rPr>
        <w:t>,</w:t>
      </w:r>
      <w:r w:rsidRPr="00D7333C">
        <w:rPr>
          <w:rFonts w:ascii="Times New Roman" w:hAnsi="Times New Roman" w:cs="Times New Roman"/>
          <w:sz w:val="20"/>
          <w:szCs w:val="20"/>
          <w:lang w:val="en-US"/>
        </w:rPr>
        <w:t xml:space="preserve"> in </w:t>
      </w:r>
      <w:proofErr w:type="spellStart"/>
      <w:r w:rsidRPr="00D7333C">
        <w:rPr>
          <w:rFonts w:ascii="Times New Roman" w:hAnsi="Times New Roman" w:cs="Times New Roman"/>
          <w:sz w:val="20"/>
          <w:szCs w:val="20"/>
          <w:lang w:val="en-US"/>
        </w:rPr>
        <w:t>Schröter</w:t>
      </w:r>
      <w:proofErr w:type="spellEnd"/>
      <w:r w:rsidRPr="00D7333C">
        <w:rPr>
          <w:rFonts w:ascii="Times New Roman" w:hAnsi="Times New Roman" w:cs="Times New Roman"/>
          <w:sz w:val="20"/>
          <w:szCs w:val="20"/>
          <w:lang w:val="en-US"/>
        </w:rPr>
        <w:t>/</w:t>
      </w:r>
      <w:proofErr w:type="spellStart"/>
      <w:r w:rsidRPr="00D7333C">
        <w:rPr>
          <w:rFonts w:ascii="Times New Roman" w:hAnsi="Times New Roman" w:cs="Times New Roman"/>
          <w:sz w:val="20"/>
          <w:szCs w:val="20"/>
          <w:lang w:val="en-US"/>
        </w:rPr>
        <w:t>Jakob</w:t>
      </w:r>
      <w:proofErr w:type="spellEnd"/>
      <w:r w:rsidRPr="00D7333C">
        <w:rPr>
          <w:rFonts w:ascii="Times New Roman" w:hAnsi="Times New Roman" w:cs="Times New Roman"/>
          <w:sz w:val="20"/>
          <w:szCs w:val="20"/>
          <w:lang w:val="en-US"/>
        </w:rPr>
        <w:t>/Klotz/</w:t>
      </w:r>
      <w:proofErr w:type="spellStart"/>
      <w:r w:rsidRPr="00D7333C">
        <w:rPr>
          <w:rFonts w:ascii="Times New Roman" w:hAnsi="Times New Roman" w:cs="Times New Roman"/>
          <w:sz w:val="20"/>
          <w:szCs w:val="20"/>
          <w:lang w:val="en-US"/>
        </w:rPr>
        <w:t>Mederer</w:t>
      </w:r>
      <w:proofErr w:type="spellEnd"/>
      <w:r w:rsidRPr="00D7333C">
        <w:rPr>
          <w:rFonts w:ascii="Times New Roman" w:hAnsi="Times New Roman" w:cs="Times New Roman"/>
          <w:sz w:val="20"/>
          <w:szCs w:val="20"/>
          <w:lang w:val="en-US"/>
        </w:rPr>
        <w:t xml:space="preserve">, </w:t>
      </w:r>
      <w:proofErr w:type="spellStart"/>
      <w:r w:rsidRPr="00D7333C">
        <w:rPr>
          <w:rFonts w:ascii="Times New Roman" w:hAnsi="Times New Roman" w:cs="Times New Roman"/>
          <w:sz w:val="20"/>
          <w:szCs w:val="20"/>
          <w:lang w:val="en-US"/>
        </w:rPr>
        <w:t>Europäisches</w:t>
      </w:r>
      <w:proofErr w:type="spellEnd"/>
      <w:r w:rsidRPr="00D7333C">
        <w:rPr>
          <w:rFonts w:ascii="Times New Roman" w:hAnsi="Times New Roman" w:cs="Times New Roman"/>
          <w:sz w:val="20"/>
          <w:szCs w:val="20"/>
          <w:lang w:val="en-US"/>
        </w:rPr>
        <w:t xml:space="preserve"> </w:t>
      </w:r>
      <w:proofErr w:type="spellStart"/>
      <w:r w:rsidRPr="00D7333C">
        <w:rPr>
          <w:rFonts w:ascii="Times New Roman" w:hAnsi="Times New Roman" w:cs="Times New Roman"/>
          <w:sz w:val="20"/>
          <w:szCs w:val="20"/>
          <w:lang w:val="en-US"/>
        </w:rPr>
        <w:t>Wettbewerbsrecht</w:t>
      </w:r>
      <w:proofErr w:type="spellEnd"/>
      <w:r w:rsidRPr="00D7333C">
        <w:rPr>
          <w:rFonts w:ascii="Times New Roman" w:hAnsi="Times New Roman" w:cs="Times New Roman"/>
          <w:sz w:val="20"/>
          <w:szCs w:val="20"/>
          <w:lang w:val="en-US"/>
        </w:rPr>
        <w:t>, 2</w:t>
      </w:r>
      <w:r w:rsidRPr="00D7333C">
        <w:rPr>
          <w:rFonts w:ascii="Times New Roman" w:hAnsi="Times New Roman" w:cs="Times New Roman"/>
          <w:sz w:val="20"/>
          <w:szCs w:val="20"/>
          <w:vertAlign w:val="superscript"/>
          <w:lang w:val="en-US"/>
        </w:rPr>
        <w:t>nd</w:t>
      </w:r>
      <w:r w:rsidRPr="00D7333C">
        <w:rPr>
          <w:rFonts w:ascii="Times New Roman" w:hAnsi="Times New Roman" w:cs="Times New Roman"/>
          <w:sz w:val="20"/>
          <w:szCs w:val="20"/>
          <w:lang w:val="en-US"/>
        </w:rPr>
        <w:t> ed. 2014, TFEU Art.</w:t>
      </w:r>
      <w:proofErr w:type="gramEnd"/>
      <w:r w:rsidRPr="00D7333C">
        <w:rPr>
          <w:rFonts w:ascii="Times New Roman" w:hAnsi="Times New Roman" w:cs="Times New Roman"/>
          <w:sz w:val="20"/>
          <w:szCs w:val="20"/>
          <w:lang w:val="en-US"/>
        </w:rPr>
        <w:t xml:space="preserve"> </w:t>
      </w:r>
      <w:proofErr w:type="gramStart"/>
      <w:r w:rsidRPr="00D7333C">
        <w:rPr>
          <w:rFonts w:ascii="Times New Roman" w:hAnsi="Times New Roman" w:cs="Times New Roman"/>
          <w:sz w:val="20"/>
          <w:szCs w:val="20"/>
          <w:lang w:val="en-US"/>
        </w:rPr>
        <w:t>107 no. 21.</w:t>
      </w:r>
      <w:proofErr w:type="gramEnd"/>
    </w:p>
  </w:footnote>
  <w:footnote w:id="17">
    <w:p w14:paraId="06F5CBDE" w14:textId="0742B73F" w:rsidR="00D13078" w:rsidRPr="00D7333C" w:rsidRDefault="00D13078" w:rsidP="00D7333C">
      <w:pPr>
        <w:pStyle w:val="Funotentext"/>
        <w:jc w:val="both"/>
        <w:rPr>
          <w:rFonts w:ascii="Times New Roman" w:hAnsi="Times New Roman" w:cs="Times New Roman"/>
          <w:sz w:val="20"/>
          <w:szCs w:val="20"/>
          <w:lang w:val="en-US"/>
        </w:rPr>
      </w:pPr>
      <w:r w:rsidRPr="00D7333C">
        <w:rPr>
          <w:rStyle w:val="Funotenzeichen"/>
          <w:rFonts w:ascii="Times New Roman" w:hAnsi="Times New Roman" w:cs="Times New Roman"/>
          <w:sz w:val="20"/>
          <w:szCs w:val="20"/>
          <w:lang w:val="en-US"/>
        </w:rPr>
        <w:footnoteRef/>
      </w:r>
      <w:r w:rsidRPr="00D7333C">
        <w:rPr>
          <w:rFonts w:ascii="Times New Roman" w:hAnsi="Times New Roman" w:cs="Times New Roman"/>
          <w:sz w:val="20"/>
          <w:szCs w:val="20"/>
          <w:lang w:val="en-US"/>
        </w:rPr>
        <w:t xml:space="preserve"> </w:t>
      </w:r>
      <w:proofErr w:type="spellStart"/>
      <w:proofErr w:type="gramStart"/>
      <w:r w:rsidRPr="00D7333C">
        <w:rPr>
          <w:rFonts w:ascii="Times New Roman" w:hAnsi="Times New Roman" w:cs="Times New Roman"/>
          <w:i/>
          <w:sz w:val="20"/>
          <w:szCs w:val="20"/>
          <w:lang w:val="en-US"/>
        </w:rPr>
        <w:t>Ludwigs</w:t>
      </w:r>
      <w:proofErr w:type="spellEnd"/>
      <w:r w:rsidRPr="004A48B6">
        <w:rPr>
          <w:rFonts w:ascii="Times New Roman" w:hAnsi="Times New Roman" w:cs="Times New Roman"/>
          <w:sz w:val="20"/>
          <w:szCs w:val="20"/>
          <w:lang w:val="en-US"/>
        </w:rPr>
        <w:t>,</w:t>
      </w:r>
      <w:r w:rsidRPr="00D7333C">
        <w:rPr>
          <w:rFonts w:ascii="Times New Roman" w:hAnsi="Times New Roman" w:cs="Times New Roman"/>
          <w:i/>
          <w:sz w:val="20"/>
          <w:szCs w:val="20"/>
          <w:lang w:val="en-US"/>
        </w:rPr>
        <w:t xml:space="preserve"> </w:t>
      </w:r>
      <w:r w:rsidRPr="00D7333C">
        <w:rPr>
          <w:rFonts w:ascii="Times New Roman" w:hAnsi="Times New Roman" w:cs="Times New Roman"/>
          <w:sz w:val="20"/>
          <w:szCs w:val="20"/>
          <w:lang w:val="en-US"/>
        </w:rPr>
        <w:t xml:space="preserve">in </w:t>
      </w:r>
      <w:proofErr w:type="spellStart"/>
      <w:r w:rsidRPr="00D7333C">
        <w:rPr>
          <w:rFonts w:ascii="Times New Roman" w:hAnsi="Times New Roman" w:cs="Times New Roman"/>
          <w:sz w:val="20"/>
          <w:szCs w:val="20"/>
          <w:lang w:val="en-US"/>
        </w:rPr>
        <w:t>Münchener</w:t>
      </w:r>
      <w:proofErr w:type="spellEnd"/>
      <w:r w:rsidRPr="00D7333C">
        <w:rPr>
          <w:rFonts w:ascii="Times New Roman" w:hAnsi="Times New Roman" w:cs="Times New Roman"/>
          <w:sz w:val="20"/>
          <w:szCs w:val="20"/>
          <w:lang w:val="en-US"/>
        </w:rPr>
        <w:t xml:space="preserve"> </w:t>
      </w:r>
      <w:proofErr w:type="spellStart"/>
      <w:r w:rsidRPr="00D7333C">
        <w:rPr>
          <w:rFonts w:ascii="Times New Roman" w:hAnsi="Times New Roman" w:cs="Times New Roman"/>
          <w:sz w:val="20"/>
          <w:szCs w:val="20"/>
          <w:lang w:val="en-US"/>
        </w:rPr>
        <w:t>Kommentar</w:t>
      </w:r>
      <w:proofErr w:type="spellEnd"/>
      <w:r w:rsidRPr="00D7333C">
        <w:rPr>
          <w:rFonts w:ascii="Times New Roman" w:hAnsi="Times New Roman" w:cs="Times New Roman"/>
          <w:sz w:val="20"/>
          <w:szCs w:val="20"/>
          <w:lang w:val="en-US"/>
        </w:rPr>
        <w:t xml:space="preserve"> </w:t>
      </w:r>
      <w:proofErr w:type="spellStart"/>
      <w:r w:rsidRPr="00D7333C">
        <w:rPr>
          <w:rFonts w:ascii="Times New Roman" w:hAnsi="Times New Roman" w:cs="Times New Roman"/>
          <w:sz w:val="20"/>
          <w:szCs w:val="20"/>
          <w:lang w:val="en-US"/>
        </w:rPr>
        <w:t>zum</w:t>
      </w:r>
      <w:proofErr w:type="spellEnd"/>
      <w:r w:rsidRPr="00D7333C">
        <w:rPr>
          <w:rFonts w:ascii="Times New Roman" w:hAnsi="Times New Roman" w:cs="Times New Roman"/>
          <w:sz w:val="20"/>
          <w:szCs w:val="20"/>
          <w:lang w:val="en-US"/>
        </w:rPr>
        <w:t xml:space="preserve"> </w:t>
      </w:r>
      <w:proofErr w:type="spellStart"/>
      <w:r w:rsidRPr="00D7333C">
        <w:rPr>
          <w:rFonts w:ascii="Times New Roman" w:hAnsi="Times New Roman" w:cs="Times New Roman"/>
          <w:sz w:val="20"/>
          <w:szCs w:val="20"/>
          <w:lang w:val="en-US"/>
        </w:rPr>
        <w:t>Kartellrech</w:t>
      </w:r>
      <w:r>
        <w:rPr>
          <w:rFonts w:ascii="Times New Roman" w:hAnsi="Times New Roman" w:cs="Times New Roman"/>
          <w:sz w:val="20"/>
          <w:szCs w:val="20"/>
          <w:lang w:val="en-US"/>
        </w:rPr>
        <w:t>t</w:t>
      </w:r>
      <w:proofErr w:type="spellEnd"/>
      <w:r w:rsidRPr="00D7333C">
        <w:rPr>
          <w:rFonts w:ascii="Times New Roman" w:hAnsi="Times New Roman" w:cs="Times New Roman"/>
          <w:sz w:val="20"/>
          <w:szCs w:val="20"/>
          <w:lang w:val="en-US"/>
        </w:rPr>
        <w:t>, vol. 5, 2</w:t>
      </w:r>
      <w:r w:rsidRPr="00D7333C">
        <w:rPr>
          <w:rFonts w:ascii="Times New Roman" w:hAnsi="Times New Roman" w:cs="Times New Roman"/>
          <w:sz w:val="20"/>
          <w:szCs w:val="20"/>
          <w:vertAlign w:val="superscript"/>
          <w:lang w:val="en-US"/>
        </w:rPr>
        <w:t>nd</w:t>
      </w:r>
      <w:r>
        <w:rPr>
          <w:rFonts w:ascii="Times New Roman" w:hAnsi="Times New Roman" w:cs="Times New Roman"/>
          <w:sz w:val="20"/>
          <w:szCs w:val="20"/>
          <w:lang w:val="en-US"/>
        </w:rPr>
        <w:t xml:space="preserve"> </w:t>
      </w:r>
      <w:r w:rsidRPr="00D7333C">
        <w:rPr>
          <w:rFonts w:ascii="Times New Roman" w:hAnsi="Times New Roman" w:cs="Times New Roman"/>
          <w:sz w:val="20"/>
          <w:szCs w:val="20"/>
          <w:lang w:val="en-US"/>
        </w:rPr>
        <w:t>ed. 2018, TFEU Art.</w:t>
      </w:r>
      <w:proofErr w:type="gramEnd"/>
      <w:r w:rsidRPr="00D7333C">
        <w:rPr>
          <w:rFonts w:ascii="Times New Roman" w:hAnsi="Times New Roman" w:cs="Times New Roman"/>
          <w:sz w:val="20"/>
          <w:szCs w:val="20"/>
          <w:lang w:val="en-US"/>
        </w:rPr>
        <w:t xml:space="preserve"> </w:t>
      </w:r>
      <w:proofErr w:type="gramStart"/>
      <w:r w:rsidRPr="00D7333C">
        <w:rPr>
          <w:rFonts w:ascii="Times New Roman" w:hAnsi="Times New Roman" w:cs="Times New Roman"/>
          <w:sz w:val="20"/>
          <w:szCs w:val="20"/>
          <w:lang w:val="en-US"/>
        </w:rPr>
        <w:t>107 no. 7.</w:t>
      </w:r>
      <w:proofErr w:type="gramEnd"/>
    </w:p>
  </w:footnote>
  <w:footnote w:id="18">
    <w:p w14:paraId="6A7B4612" w14:textId="71785F27" w:rsidR="00D13078" w:rsidRPr="00AA71D1" w:rsidRDefault="00D13078" w:rsidP="00D7333C">
      <w:pPr>
        <w:pStyle w:val="Funotentext"/>
        <w:jc w:val="both"/>
        <w:rPr>
          <w:rFonts w:ascii="Times New Roman" w:hAnsi="Times New Roman" w:cs="Times New Roman"/>
          <w:sz w:val="20"/>
          <w:szCs w:val="20"/>
          <w:lang w:val="en-US"/>
        </w:rPr>
      </w:pPr>
      <w:r w:rsidRPr="00436F34">
        <w:rPr>
          <w:rStyle w:val="Funotenzeichen"/>
          <w:rFonts w:ascii="Times New Roman" w:hAnsi="Times New Roman" w:cs="Times New Roman"/>
          <w:sz w:val="20"/>
          <w:szCs w:val="20"/>
        </w:rPr>
        <w:footnoteRef/>
      </w:r>
      <w:r w:rsidRPr="00436F34">
        <w:rPr>
          <w:rFonts w:ascii="Times New Roman" w:hAnsi="Times New Roman" w:cs="Times New Roman"/>
          <w:sz w:val="20"/>
          <w:szCs w:val="20"/>
        </w:rPr>
        <w:t xml:space="preserve"> </w:t>
      </w:r>
      <w:proofErr w:type="spellStart"/>
      <w:r>
        <w:rPr>
          <w:rFonts w:ascii="Times New Roman" w:hAnsi="Times New Roman" w:cs="Times New Roman"/>
          <w:sz w:val="20"/>
          <w:szCs w:val="20"/>
        </w:rPr>
        <w:t>For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detailed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information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concerning</w:t>
      </w:r>
      <w:proofErr w:type="spellEnd"/>
      <w:r>
        <w:rPr>
          <w:rFonts w:ascii="Times New Roman" w:hAnsi="Times New Roman" w:cs="Times New Roman"/>
          <w:sz w:val="20"/>
          <w:szCs w:val="20"/>
        </w:rPr>
        <w:t xml:space="preserve"> </w:t>
      </w:r>
      <w:r w:rsidRPr="00436F34">
        <w:rPr>
          <w:rFonts w:ascii="Times New Roman" w:hAnsi="Times New Roman" w:cs="Times New Roman"/>
          <w:sz w:val="20"/>
          <w:szCs w:val="20"/>
        </w:rPr>
        <w:t>WTO</w:t>
      </w:r>
      <w:r>
        <w:rPr>
          <w:rFonts w:ascii="Times New Roman" w:hAnsi="Times New Roman" w:cs="Times New Roman"/>
          <w:sz w:val="20"/>
          <w:szCs w:val="20"/>
        </w:rPr>
        <w:t xml:space="preserve"> </w:t>
      </w:r>
      <w:proofErr w:type="spellStart"/>
      <w:r>
        <w:rPr>
          <w:rFonts w:ascii="Times New Roman" w:hAnsi="Times New Roman" w:cs="Times New Roman"/>
          <w:sz w:val="20"/>
          <w:szCs w:val="20"/>
        </w:rPr>
        <w:t>subsidy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law</w:t>
      </w:r>
      <w:proofErr w:type="spellEnd"/>
      <w:r w:rsidRPr="00436F34">
        <w:rPr>
          <w:rFonts w:ascii="Times New Roman" w:hAnsi="Times New Roman" w:cs="Times New Roman"/>
          <w:sz w:val="20"/>
          <w:szCs w:val="20"/>
        </w:rPr>
        <w:t xml:space="preserve"> </w:t>
      </w:r>
      <w:proofErr w:type="spellStart"/>
      <w:r>
        <w:rPr>
          <w:rFonts w:ascii="Times New Roman" w:hAnsi="Times New Roman" w:cs="Times New Roman"/>
          <w:sz w:val="20"/>
          <w:szCs w:val="20"/>
        </w:rPr>
        <w:t>see</w:t>
      </w:r>
      <w:proofErr w:type="spellEnd"/>
      <w:r>
        <w:rPr>
          <w:rFonts w:ascii="Times New Roman" w:hAnsi="Times New Roman" w:cs="Times New Roman"/>
          <w:sz w:val="20"/>
          <w:szCs w:val="20"/>
        </w:rPr>
        <w:t xml:space="preserve"> e. g.</w:t>
      </w:r>
      <w:r w:rsidRPr="00436F34">
        <w:rPr>
          <w:rFonts w:ascii="Times New Roman" w:hAnsi="Times New Roman" w:cs="Times New Roman"/>
          <w:sz w:val="20"/>
          <w:szCs w:val="20"/>
        </w:rPr>
        <w:t xml:space="preserve"> </w:t>
      </w:r>
      <w:r w:rsidRPr="00436F34">
        <w:rPr>
          <w:rFonts w:ascii="Times New Roman" w:hAnsi="Times New Roman" w:cs="Times New Roman"/>
          <w:i/>
          <w:sz w:val="20"/>
          <w:szCs w:val="20"/>
        </w:rPr>
        <w:t>Hahn</w:t>
      </w:r>
      <w:r w:rsidRPr="004A48B6">
        <w:rPr>
          <w:rFonts w:ascii="Times New Roman" w:hAnsi="Times New Roman" w:cs="Times New Roman"/>
          <w:sz w:val="20"/>
          <w:szCs w:val="20"/>
        </w:rPr>
        <w:t>,</w:t>
      </w:r>
      <w:r w:rsidRPr="00436F34">
        <w:rPr>
          <w:rFonts w:ascii="Times New Roman" w:hAnsi="Times New Roman" w:cs="Times New Roman"/>
          <w:sz w:val="20"/>
          <w:szCs w:val="20"/>
        </w:rPr>
        <w:t xml:space="preserve"> in </w:t>
      </w:r>
      <w:proofErr w:type="spellStart"/>
      <w:r w:rsidRPr="00436F34">
        <w:rPr>
          <w:rFonts w:ascii="Times New Roman" w:hAnsi="Times New Roman" w:cs="Times New Roman"/>
          <w:sz w:val="20"/>
          <w:szCs w:val="20"/>
        </w:rPr>
        <w:t>Birnstiel</w:t>
      </w:r>
      <w:proofErr w:type="spellEnd"/>
      <w:r w:rsidRPr="00436F34">
        <w:rPr>
          <w:rFonts w:ascii="Times New Roman" w:hAnsi="Times New Roman" w:cs="Times New Roman"/>
          <w:sz w:val="20"/>
          <w:szCs w:val="20"/>
        </w:rPr>
        <w:t>/</w:t>
      </w:r>
      <w:proofErr w:type="spellStart"/>
      <w:r w:rsidRPr="00436F34">
        <w:rPr>
          <w:rFonts w:ascii="Times New Roman" w:hAnsi="Times New Roman" w:cs="Times New Roman"/>
          <w:sz w:val="20"/>
          <w:szCs w:val="20"/>
        </w:rPr>
        <w:t>Bungenberg</w:t>
      </w:r>
      <w:proofErr w:type="spellEnd"/>
      <w:r w:rsidRPr="00436F34">
        <w:rPr>
          <w:rFonts w:ascii="Times New Roman" w:hAnsi="Times New Roman" w:cs="Times New Roman"/>
          <w:sz w:val="20"/>
          <w:szCs w:val="20"/>
        </w:rPr>
        <w:t xml:space="preserve">/Heinrich, Europäisches Beihilfenrecht, 2013, </w:t>
      </w:r>
      <w:r>
        <w:rPr>
          <w:rFonts w:ascii="Times New Roman" w:hAnsi="Times New Roman" w:cs="Times New Roman"/>
          <w:sz w:val="20"/>
          <w:szCs w:val="20"/>
        </w:rPr>
        <w:t>Chapter</w:t>
      </w:r>
      <w:r w:rsidRPr="00436F34">
        <w:rPr>
          <w:rFonts w:ascii="Times New Roman" w:hAnsi="Times New Roman" w:cs="Times New Roman"/>
          <w:sz w:val="20"/>
          <w:szCs w:val="20"/>
        </w:rPr>
        <w:t xml:space="preserve"> 6 </w:t>
      </w:r>
      <w:r>
        <w:rPr>
          <w:rFonts w:ascii="Times New Roman" w:hAnsi="Times New Roman" w:cs="Times New Roman"/>
          <w:sz w:val="20"/>
          <w:szCs w:val="20"/>
        </w:rPr>
        <w:t>nos</w:t>
      </w:r>
      <w:r w:rsidRPr="00436F34">
        <w:rPr>
          <w:rFonts w:ascii="Times New Roman" w:hAnsi="Times New Roman" w:cs="Times New Roman"/>
          <w:sz w:val="20"/>
          <w:szCs w:val="20"/>
        </w:rPr>
        <w:t xml:space="preserve">. 32 </w:t>
      </w:r>
      <w:r>
        <w:rPr>
          <w:rFonts w:ascii="Times New Roman" w:hAnsi="Times New Roman" w:cs="Times New Roman"/>
          <w:sz w:val="20"/>
          <w:szCs w:val="20"/>
        </w:rPr>
        <w:t>et seq</w:t>
      </w:r>
      <w:r w:rsidRPr="00436F34">
        <w:rPr>
          <w:rFonts w:ascii="Times New Roman" w:hAnsi="Times New Roman" w:cs="Times New Roman"/>
          <w:sz w:val="20"/>
          <w:szCs w:val="20"/>
        </w:rPr>
        <w:t xml:space="preserve">.; </w:t>
      </w:r>
      <w:proofErr w:type="spellStart"/>
      <w:r>
        <w:rPr>
          <w:rFonts w:ascii="Times New Roman" w:hAnsi="Times New Roman" w:cs="Times New Roman"/>
          <w:sz w:val="20"/>
          <w:szCs w:val="20"/>
        </w:rPr>
        <w:t>comp.</w:t>
      </w:r>
      <w:proofErr w:type="spellEnd"/>
      <w:r>
        <w:rPr>
          <w:rFonts w:ascii="Times New Roman" w:hAnsi="Times New Roman" w:cs="Times New Roman"/>
          <w:sz w:val="20"/>
          <w:szCs w:val="20"/>
        </w:rPr>
        <w:t xml:space="preserve"> </w:t>
      </w:r>
      <w:r w:rsidRPr="00436F34">
        <w:rPr>
          <w:rFonts w:ascii="Times New Roman" w:hAnsi="Times New Roman" w:cs="Times New Roman"/>
          <w:sz w:val="20"/>
          <w:szCs w:val="20"/>
        </w:rPr>
        <w:t>a</w:t>
      </w:r>
      <w:r>
        <w:rPr>
          <w:rFonts w:ascii="Times New Roman" w:hAnsi="Times New Roman" w:cs="Times New Roman"/>
          <w:sz w:val="20"/>
          <w:szCs w:val="20"/>
        </w:rPr>
        <w:t>lso</w:t>
      </w:r>
      <w:r w:rsidRPr="00436F34">
        <w:rPr>
          <w:rFonts w:ascii="Times New Roman" w:hAnsi="Times New Roman" w:cs="Times New Roman"/>
          <w:sz w:val="20"/>
          <w:szCs w:val="20"/>
        </w:rPr>
        <w:t xml:space="preserve"> </w:t>
      </w:r>
      <w:proofErr w:type="spellStart"/>
      <w:r w:rsidRPr="00436F34">
        <w:rPr>
          <w:rFonts w:ascii="Times New Roman" w:hAnsi="Times New Roman" w:cs="Times New Roman"/>
          <w:i/>
          <w:sz w:val="20"/>
          <w:szCs w:val="20"/>
        </w:rPr>
        <w:t>Mickonyt</w:t>
      </w:r>
      <w:r w:rsidRPr="004A48B6">
        <w:rPr>
          <w:rStyle w:val="Hervorhebung"/>
          <w:rFonts w:ascii="Times New Roman" w:hAnsi="Times New Roman" w:cs="Times New Roman"/>
          <w:sz w:val="20"/>
          <w:szCs w:val="20"/>
        </w:rPr>
        <w:t>ė</w:t>
      </w:r>
      <w:proofErr w:type="spellEnd"/>
      <w:r w:rsidRPr="004A48B6">
        <w:rPr>
          <w:rStyle w:val="Hervorhebung"/>
          <w:rFonts w:ascii="Times New Roman" w:hAnsi="Times New Roman" w:cs="Times New Roman"/>
          <w:i w:val="0"/>
          <w:sz w:val="20"/>
          <w:szCs w:val="20"/>
        </w:rPr>
        <w:t>,</w:t>
      </w:r>
      <w:r w:rsidRPr="00436F34">
        <w:rPr>
          <w:rStyle w:val="Hervorhebung"/>
          <w:rFonts w:ascii="Times New Roman" w:hAnsi="Times New Roman" w:cs="Times New Roman"/>
          <w:i w:val="0"/>
          <w:sz w:val="20"/>
          <w:szCs w:val="20"/>
        </w:rPr>
        <w:t xml:space="preserve"> in Jaeger/Haslinger, Beihi</w:t>
      </w:r>
      <w:r w:rsidRPr="00436F34">
        <w:rPr>
          <w:rStyle w:val="Hervorhebung"/>
          <w:rFonts w:ascii="Times New Roman" w:hAnsi="Times New Roman" w:cs="Times New Roman"/>
          <w:i w:val="0"/>
          <w:sz w:val="20"/>
          <w:szCs w:val="20"/>
        </w:rPr>
        <w:t>l</w:t>
      </w:r>
      <w:r w:rsidRPr="00436F34">
        <w:rPr>
          <w:rStyle w:val="Hervorhebung"/>
          <w:rFonts w:ascii="Times New Roman" w:hAnsi="Times New Roman" w:cs="Times New Roman"/>
          <w:i w:val="0"/>
          <w:sz w:val="20"/>
          <w:szCs w:val="20"/>
        </w:rPr>
        <w:t>ferecht Jahrbuch 2018, 2018,</w:t>
      </w:r>
      <w:r>
        <w:rPr>
          <w:rStyle w:val="Hervorhebung"/>
          <w:rFonts w:ascii="Times New Roman" w:hAnsi="Times New Roman" w:cs="Times New Roman"/>
          <w:i w:val="0"/>
          <w:sz w:val="20"/>
          <w:szCs w:val="20"/>
        </w:rPr>
        <w:t xml:space="preserve"> </w:t>
      </w:r>
      <w:r w:rsidRPr="00436F34">
        <w:rPr>
          <w:rStyle w:val="Hervorhebung"/>
          <w:rFonts w:ascii="Times New Roman" w:hAnsi="Times New Roman" w:cs="Times New Roman"/>
          <w:i w:val="0"/>
          <w:sz w:val="20"/>
          <w:szCs w:val="20"/>
        </w:rPr>
        <w:t>389</w:t>
      </w:r>
      <w:r w:rsidRPr="00064EC4">
        <w:rPr>
          <w:rStyle w:val="Hervorhebung"/>
          <w:rFonts w:ascii="Times New Roman" w:hAnsi="Times New Roman" w:cs="Times New Roman"/>
          <w:i w:val="0"/>
          <w:sz w:val="20"/>
          <w:szCs w:val="20"/>
        </w:rPr>
        <w:t xml:space="preserve"> </w:t>
      </w:r>
      <w:r w:rsidRPr="005B4D0E">
        <w:rPr>
          <w:rStyle w:val="Hervorhebung"/>
          <w:rFonts w:ascii="Times New Roman" w:hAnsi="Times New Roman" w:cs="Times New Roman"/>
          <w:i w:val="0"/>
          <w:sz w:val="20"/>
          <w:szCs w:val="20"/>
        </w:rPr>
        <w:t>(</w:t>
      </w:r>
      <w:r>
        <w:rPr>
          <w:rStyle w:val="Hervorhebung"/>
          <w:rFonts w:ascii="Times New Roman" w:hAnsi="Times New Roman" w:cs="Times New Roman"/>
          <w:i w:val="0"/>
          <w:sz w:val="20"/>
          <w:szCs w:val="20"/>
        </w:rPr>
        <w:t xml:space="preserve">p. </w:t>
      </w:r>
      <w:r w:rsidRPr="005B4D0E">
        <w:rPr>
          <w:rStyle w:val="Hervorhebung"/>
          <w:rFonts w:ascii="Times New Roman" w:hAnsi="Times New Roman" w:cs="Times New Roman"/>
          <w:i w:val="0"/>
          <w:sz w:val="20"/>
          <w:szCs w:val="20"/>
        </w:rPr>
        <w:t>396 </w:t>
      </w:r>
      <w:r>
        <w:rPr>
          <w:rStyle w:val="Hervorhebung"/>
          <w:rFonts w:ascii="Times New Roman" w:hAnsi="Times New Roman" w:cs="Times New Roman"/>
          <w:i w:val="0"/>
          <w:sz w:val="20"/>
          <w:szCs w:val="20"/>
        </w:rPr>
        <w:t>et seq</w:t>
      </w:r>
      <w:r w:rsidRPr="005B4D0E">
        <w:rPr>
          <w:rStyle w:val="Hervorhebung"/>
          <w:rFonts w:ascii="Times New Roman" w:hAnsi="Times New Roman" w:cs="Times New Roman"/>
          <w:i w:val="0"/>
          <w:sz w:val="20"/>
          <w:szCs w:val="20"/>
        </w:rPr>
        <w:t xml:space="preserve">.); </w:t>
      </w:r>
      <w:r w:rsidRPr="005B4D0E">
        <w:rPr>
          <w:rStyle w:val="Hervorhebung"/>
          <w:rFonts w:ascii="Times New Roman" w:hAnsi="Times New Roman" w:cs="Times New Roman"/>
          <w:sz w:val="20"/>
          <w:szCs w:val="20"/>
        </w:rPr>
        <w:t>Biondi</w:t>
      </w:r>
      <w:r w:rsidRPr="004A48B6">
        <w:rPr>
          <w:rStyle w:val="Hervorhebung"/>
          <w:rFonts w:ascii="Times New Roman" w:hAnsi="Times New Roman" w:cs="Times New Roman"/>
          <w:i w:val="0"/>
          <w:sz w:val="20"/>
          <w:szCs w:val="20"/>
        </w:rPr>
        <w:t>,</w:t>
      </w:r>
      <w:r w:rsidRPr="005B4D0E">
        <w:rPr>
          <w:rStyle w:val="Hervorhebung"/>
          <w:rFonts w:ascii="Times New Roman" w:hAnsi="Times New Roman" w:cs="Times New Roman"/>
          <w:i w:val="0"/>
          <w:sz w:val="20"/>
          <w:szCs w:val="20"/>
        </w:rPr>
        <w:t xml:space="preserve"> </w:t>
      </w:r>
      <w:proofErr w:type="spellStart"/>
      <w:r w:rsidRPr="005B4D0E">
        <w:rPr>
          <w:rStyle w:val="Hervorhebung"/>
          <w:rFonts w:ascii="Times New Roman" w:hAnsi="Times New Roman" w:cs="Times New Roman"/>
          <w:i w:val="0"/>
          <w:sz w:val="20"/>
          <w:szCs w:val="20"/>
        </w:rPr>
        <w:t>K</w:t>
      </w:r>
      <w:r>
        <w:rPr>
          <w:rStyle w:val="Hervorhebung"/>
          <w:rFonts w:ascii="Times New Roman" w:hAnsi="Times New Roman" w:cs="Times New Roman"/>
          <w:i w:val="0"/>
          <w:sz w:val="20"/>
          <w:szCs w:val="20"/>
        </w:rPr>
        <w:t>ing’s</w:t>
      </w:r>
      <w:proofErr w:type="spellEnd"/>
      <w:r>
        <w:rPr>
          <w:rStyle w:val="Hervorhebung"/>
          <w:rFonts w:ascii="Times New Roman" w:hAnsi="Times New Roman" w:cs="Times New Roman"/>
          <w:i w:val="0"/>
          <w:sz w:val="20"/>
          <w:szCs w:val="20"/>
        </w:rPr>
        <w:t xml:space="preserve"> Law Journal</w:t>
      </w:r>
      <w:r w:rsidRPr="005B4D0E">
        <w:rPr>
          <w:rStyle w:val="Hervorhebung"/>
          <w:rFonts w:ascii="Times New Roman" w:hAnsi="Times New Roman" w:cs="Times New Roman"/>
          <w:i w:val="0"/>
          <w:sz w:val="20"/>
          <w:szCs w:val="20"/>
        </w:rPr>
        <w:t xml:space="preserve"> 2016, 442 (</w:t>
      </w:r>
      <w:r>
        <w:rPr>
          <w:rStyle w:val="Hervorhebung"/>
          <w:rFonts w:ascii="Times New Roman" w:hAnsi="Times New Roman" w:cs="Times New Roman"/>
          <w:i w:val="0"/>
          <w:sz w:val="20"/>
          <w:szCs w:val="20"/>
        </w:rPr>
        <w:t xml:space="preserve">p. </w:t>
      </w:r>
      <w:r w:rsidRPr="005B4D0E">
        <w:rPr>
          <w:rStyle w:val="Hervorhebung"/>
          <w:rFonts w:ascii="Times New Roman" w:hAnsi="Times New Roman" w:cs="Times New Roman"/>
          <w:i w:val="0"/>
          <w:sz w:val="20"/>
          <w:szCs w:val="20"/>
        </w:rPr>
        <w:t xml:space="preserve">450 </w:t>
      </w:r>
      <w:r>
        <w:rPr>
          <w:rStyle w:val="Hervorhebung"/>
          <w:rFonts w:ascii="Times New Roman" w:hAnsi="Times New Roman" w:cs="Times New Roman"/>
          <w:i w:val="0"/>
          <w:sz w:val="20"/>
          <w:szCs w:val="20"/>
        </w:rPr>
        <w:t>et seq</w:t>
      </w:r>
      <w:r w:rsidRPr="005B4D0E">
        <w:rPr>
          <w:rStyle w:val="Hervorhebung"/>
          <w:rFonts w:ascii="Times New Roman" w:hAnsi="Times New Roman" w:cs="Times New Roman"/>
          <w:i w:val="0"/>
          <w:sz w:val="20"/>
          <w:szCs w:val="20"/>
        </w:rPr>
        <w:t xml:space="preserve">.); </w:t>
      </w:r>
      <w:proofErr w:type="spellStart"/>
      <w:r w:rsidRPr="005B4D0E">
        <w:rPr>
          <w:rStyle w:val="Hervorhebung"/>
          <w:rFonts w:ascii="Times New Roman" w:hAnsi="Times New Roman" w:cs="Times New Roman"/>
          <w:sz w:val="20"/>
          <w:szCs w:val="20"/>
        </w:rPr>
        <w:t>Swi</w:t>
      </w:r>
      <w:r w:rsidRPr="005B4D0E">
        <w:rPr>
          <w:rStyle w:val="Hervorhebung"/>
          <w:rFonts w:ascii="Times New Roman" w:hAnsi="Times New Roman" w:cs="Times New Roman"/>
          <w:sz w:val="20"/>
          <w:szCs w:val="20"/>
        </w:rPr>
        <w:t>t</w:t>
      </w:r>
      <w:r w:rsidRPr="005B4D0E">
        <w:rPr>
          <w:rStyle w:val="Hervorhebung"/>
          <w:rFonts w:ascii="Times New Roman" w:hAnsi="Times New Roman" w:cs="Times New Roman"/>
          <w:sz w:val="20"/>
          <w:szCs w:val="20"/>
        </w:rPr>
        <w:t>zer</w:t>
      </w:r>
      <w:proofErr w:type="spellEnd"/>
      <w:r w:rsidRPr="004A48B6">
        <w:rPr>
          <w:rStyle w:val="Hervorhebung"/>
          <w:rFonts w:ascii="Times New Roman" w:hAnsi="Times New Roman" w:cs="Times New Roman"/>
          <w:i w:val="0"/>
          <w:sz w:val="20"/>
          <w:szCs w:val="20"/>
        </w:rPr>
        <w:t>,</w:t>
      </w:r>
      <w:r w:rsidRPr="005B4D0E">
        <w:rPr>
          <w:rStyle w:val="Hervorhebung"/>
          <w:rFonts w:ascii="Times New Roman" w:hAnsi="Times New Roman" w:cs="Times New Roman"/>
          <w:i w:val="0"/>
          <w:sz w:val="20"/>
          <w:szCs w:val="20"/>
        </w:rPr>
        <w:t xml:space="preserve"> Edin</w:t>
      </w:r>
      <w:r>
        <w:rPr>
          <w:rStyle w:val="Hervorhebung"/>
          <w:rFonts w:ascii="Times New Roman" w:hAnsi="Times New Roman" w:cs="Times New Roman"/>
          <w:i w:val="0"/>
          <w:sz w:val="20"/>
          <w:szCs w:val="20"/>
        </w:rPr>
        <w:t xml:space="preserve">burgh </w:t>
      </w:r>
      <w:r w:rsidRPr="00AA71D1">
        <w:rPr>
          <w:rStyle w:val="Hervorhebung"/>
          <w:rFonts w:ascii="Times New Roman" w:hAnsi="Times New Roman" w:cs="Times New Roman"/>
          <w:i w:val="0"/>
          <w:sz w:val="20"/>
          <w:szCs w:val="20"/>
          <w:lang w:val="en-US"/>
        </w:rPr>
        <w:t>Law Review 2018, 155 (p. 158 et seq.).</w:t>
      </w:r>
    </w:p>
  </w:footnote>
  <w:footnote w:id="19">
    <w:p w14:paraId="53693EF4" w14:textId="31E75A79" w:rsidR="00D13078" w:rsidRPr="005B4D0E" w:rsidRDefault="00D13078" w:rsidP="00AA71D1">
      <w:pPr>
        <w:pStyle w:val="Funotentext"/>
        <w:jc w:val="both"/>
        <w:rPr>
          <w:rFonts w:ascii="Times New Roman" w:hAnsi="Times New Roman" w:cs="Times New Roman"/>
          <w:sz w:val="20"/>
          <w:szCs w:val="20"/>
        </w:rPr>
      </w:pPr>
      <w:r w:rsidRPr="00AA71D1">
        <w:rPr>
          <w:rStyle w:val="Funotenzeichen"/>
          <w:rFonts w:ascii="Times New Roman" w:hAnsi="Times New Roman" w:cs="Times New Roman"/>
          <w:sz w:val="20"/>
          <w:szCs w:val="20"/>
          <w:lang w:val="en-US"/>
        </w:rPr>
        <w:footnoteRef/>
      </w:r>
      <w:r w:rsidRPr="00AA71D1">
        <w:rPr>
          <w:rFonts w:ascii="Times New Roman" w:hAnsi="Times New Roman" w:cs="Times New Roman"/>
          <w:sz w:val="20"/>
          <w:szCs w:val="20"/>
          <w:lang w:val="en-US"/>
        </w:rPr>
        <w:t xml:space="preserve"> </w:t>
      </w:r>
      <w:proofErr w:type="gramStart"/>
      <w:r w:rsidRPr="00AA71D1">
        <w:rPr>
          <w:rFonts w:ascii="Times New Roman" w:hAnsi="Times New Roman" w:cs="Times New Roman"/>
          <w:sz w:val="20"/>
          <w:szCs w:val="20"/>
          <w:lang w:val="en-US"/>
        </w:rPr>
        <w:t xml:space="preserve">Comp. </w:t>
      </w:r>
      <w:proofErr w:type="spellStart"/>
      <w:r w:rsidRPr="00AA71D1">
        <w:rPr>
          <w:rFonts w:ascii="Times New Roman" w:hAnsi="Times New Roman" w:cs="Times New Roman"/>
          <w:i/>
          <w:sz w:val="20"/>
          <w:szCs w:val="20"/>
          <w:lang w:val="en-US"/>
        </w:rPr>
        <w:t>Ludwigs</w:t>
      </w:r>
      <w:proofErr w:type="spellEnd"/>
      <w:r w:rsidRPr="004A48B6">
        <w:rPr>
          <w:rFonts w:ascii="Times New Roman" w:hAnsi="Times New Roman" w:cs="Times New Roman"/>
          <w:sz w:val="20"/>
          <w:szCs w:val="20"/>
          <w:lang w:val="en-US"/>
        </w:rPr>
        <w:t>,</w:t>
      </w:r>
      <w:r w:rsidRPr="00AA71D1">
        <w:rPr>
          <w:rFonts w:ascii="Times New Roman" w:hAnsi="Times New Roman" w:cs="Times New Roman"/>
          <w:i/>
          <w:sz w:val="20"/>
          <w:szCs w:val="20"/>
          <w:lang w:val="en-US"/>
        </w:rPr>
        <w:t xml:space="preserve"> </w:t>
      </w:r>
      <w:r w:rsidRPr="00AA71D1">
        <w:rPr>
          <w:rFonts w:ascii="Times New Roman" w:hAnsi="Times New Roman" w:cs="Times New Roman"/>
          <w:sz w:val="20"/>
          <w:szCs w:val="20"/>
          <w:lang w:val="en-US"/>
        </w:rPr>
        <w:t xml:space="preserve">in </w:t>
      </w:r>
      <w:proofErr w:type="spellStart"/>
      <w:r w:rsidRPr="00AA71D1">
        <w:rPr>
          <w:rFonts w:ascii="Times New Roman" w:hAnsi="Times New Roman" w:cs="Times New Roman"/>
          <w:sz w:val="20"/>
          <w:szCs w:val="20"/>
          <w:lang w:val="en-US"/>
        </w:rPr>
        <w:t>Münchener</w:t>
      </w:r>
      <w:proofErr w:type="spellEnd"/>
      <w:r w:rsidRPr="00AA71D1">
        <w:rPr>
          <w:rFonts w:ascii="Times New Roman" w:hAnsi="Times New Roman" w:cs="Times New Roman"/>
          <w:sz w:val="20"/>
          <w:szCs w:val="20"/>
          <w:lang w:val="en-US"/>
        </w:rPr>
        <w:t xml:space="preserve"> </w:t>
      </w:r>
      <w:proofErr w:type="spellStart"/>
      <w:r w:rsidRPr="00AA71D1">
        <w:rPr>
          <w:rFonts w:ascii="Times New Roman" w:hAnsi="Times New Roman" w:cs="Times New Roman"/>
          <w:sz w:val="20"/>
          <w:szCs w:val="20"/>
          <w:lang w:val="en-US"/>
        </w:rPr>
        <w:t>Kommentar</w:t>
      </w:r>
      <w:proofErr w:type="spellEnd"/>
      <w:r w:rsidRPr="00AA71D1">
        <w:rPr>
          <w:rFonts w:ascii="Times New Roman" w:hAnsi="Times New Roman" w:cs="Times New Roman"/>
          <w:sz w:val="20"/>
          <w:szCs w:val="20"/>
          <w:lang w:val="en-US"/>
        </w:rPr>
        <w:t xml:space="preserve"> </w:t>
      </w:r>
      <w:proofErr w:type="spellStart"/>
      <w:r w:rsidRPr="00AA71D1">
        <w:rPr>
          <w:rFonts w:ascii="Times New Roman" w:hAnsi="Times New Roman" w:cs="Times New Roman"/>
          <w:sz w:val="20"/>
          <w:szCs w:val="20"/>
          <w:lang w:val="en-US"/>
        </w:rPr>
        <w:t>zum</w:t>
      </w:r>
      <w:proofErr w:type="spellEnd"/>
      <w:r w:rsidRPr="00AA71D1">
        <w:rPr>
          <w:rFonts w:ascii="Times New Roman" w:hAnsi="Times New Roman" w:cs="Times New Roman"/>
          <w:sz w:val="20"/>
          <w:szCs w:val="20"/>
          <w:lang w:val="en-US"/>
        </w:rPr>
        <w:t xml:space="preserve"> </w:t>
      </w:r>
      <w:proofErr w:type="spellStart"/>
      <w:r w:rsidRPr="00AA71D1">
        <w:rPr>
          <w:rFonts w:ascii="Times New Roman" w:hAnsi="Times New Roman" w:cs="Times New Roman"/>
          <w:sz w:val="20"/>
          <w:szCs w:val="20"/>
          <w:lang w:val="en-US"/>
        </w:rPr>
        <w:t>Kartellrecht</w:t>
      </w:r>
      <w:proofErr w:type="spellEnd"/>
      <w:r w:rsidRPr="00AA71D1">
        <w:rPr>
          <w:rFonts w:ascii="Times New Roman" w:hAnsi="Times New Roman" w:cs="Times New Roman"/>
          <w:sz w:val="20"/>
          <w:szCs w:val="20"/>
          <w:lang w:val="en-US"/>
        </w:rPr>
        <w:t>, vol. 5, 2</w:t>
      </w:r>
      <w:r w:rsidRPr="00AA71D1">
        <w:rPr>
          <w:rFonts w:ascii="Times New Roman" w:hAnsi="Times New Roman" w:cs="Times New Roman"/>
          <w:sz w:val="20"/>
          <w:szCs w:val="20"/>
          <w:vertAlign w:val="superscript"/>
          <w:lang w:val="en-US"/>
        </w:rPr>
        <w:t>nd</w:t>
      </w:r>
      <w:r>
        <w:rPr>
          <w:rFonts w:ascii="Times New Roman" w:hAnsi="Times New Roman" w:cs="Times New Roman"/>
          <w:sz w:val="20"/>
          <w:szCs w:val="20"/>
          <w:lang w:val="en-US"/>
        </w:rPr>
        <w:t xml:space="preserve"> ed</w:t>
      </w:r>
      <w:r w:rsidRPr="00AA71D1">
        <w:rPr>
          <w:rFonts w:ascii="Times New Roman" w:hAnsi="Times New Roman" w:cs="Times New Roman"/>
          <w:sz w:val="20"/>
          <w:szCs w:val="20"/>
          <w:lang w:val="en-US"/>
        </w:rPr>
        <w:t xml:space="preserve">. 2018, </w:t>
      </w:r>
      <w:r>
        <w:rPr>
          <w:rFonts w:ascii="Times New Roman" w:hAnsi="Times New Roman" w:cs="Times New Roman"/>
          <w:sz w:val="20"/>
          <w:szCs w:val="20"/>
          <w:lang w:val="en-US"/>
        </w:rPr>
        <w:t>TFEU</w:t>
      </w:r>
      <w:r w:rsidRPr="00AA71D1">
        <w:rPr>
          <w:rFonts w:ascii="Times New Roman" w:hAnsi="Times New Roman" w:cs="Times New Roman"/>
          <w:sz w:val="20"/>
          <w:szCs w:val="20"/>
          <w:lang w:val="en-US"/>
        </w:rPr>
        <w:t xml:space="preserve"> Art.</w:t>
      </w:r>
      <w:proofErr w:type="gramEnd"/>
      <w:r w:rsidRPr="00AA71D1">
        <w:rPr>
          <w:rFonts w:ascii="Times New Roman" w:hAnsi="Times New Roman" w:cs="Times New Roman"/>
          <w:sz w:val="20"/>
          <w:szCs w:val="20"/>
          <w:lang w:val="en-US"/>
        </w:rPr>
        <w:t xml:space="preserve"> </w:t>
      </w:r>
      <w:proofErr w:type="gramStart"/>
      <w:r w:rsidRPr="00AA71D1">
        <w:rPr>
          <w:rFonts w:ascii="Times New Roman" w:hAnsi="Times New Roman" w:cs="Times New Roman"/>
          <w:sz w:val="20"/>
          <w:szCs w:val="20"/>
          <w:lang w:val="en-US"/>
        </w:rPr>
        <w:t xml:space="preserve">107 </w:t>
      </w:r>
      <w:r>
        <w:rPr>
          <w:rFonts w:ascii="Times New Roman" w:hAnsi="Times New Roman" w:cs="Times New Roman"/>
          <w:sz w:val="20"/>
          <w:szCs w:val="20"/>
          <w:lang w:val="en-US"/>
        </w:rPr>
        <w:t>nos</w:t>
      </w:r>
      <w:r w:rsidRPr="00AA71D1">
        <w:rPr>
          <w:rFonts w:ascii="Times New Roman" w:hAnsi="Times New Roman" w:cs="Times New Roman"/>
          <w:sz w:val="20"/>
          <w:szCs w:val="20"/>
          <w:lang w:val="en-US"/>
        </w:rPr>
        <w:t xml:space="preserve">. 6 </w:t>
      </w:r>
      <w:r>
        <w:rPr>
          <w:rFonts w:ascii="Times New Roman" w:hAnsi="Times New Roman" w:cs="Times New Roman"/>
          <w:sz w:val="20"/>
          <w:szCs w:val="20"/>
          <w:lang w:val="en-US"/>
        </w:rPr>
        <w:t>et seq</w:t>
      </w:r>
      <w:r w:rsidRPr="00AA71D1">
        <w:rPr>
          <w:rFonts w:ascii="Times New Roman" w:hAnsi="Times New Roman" w:cs="Times New Roman"/>
          <w:sz w:val="20"/>
          <w:szCs w:val="20"/>
          <w:lang w:val="en-US"/>
        </w:rPr>
        <w:t>.</w:t>
      </w:r>
      <w:proofErr w:type="gramEnd"/>
    </w:p>
  </w:footnote>
  <w:footnote w:id="20">
    <w:p w14:paraId="62DA09C0" w14:textId="61779C0C" w:rsidR="00D13078" w:rsidRPr="00247C1D" w:rsidRDefault="00D13078" w:rsidP="00D86749">
      <w:pPr>
        <w:pStyle w:val="Funotentext"/>
        <w:jc w:val="both"/>
        <w:rPr>
          <w:rFonts w:ascii="Times New Roman" w:hAnsi="Times New Roman" w:cs="Times New Roman"/>
          <w:sz w:val="20"/>
          <w:szCs w:val="20"/>
        </w:rPr>
      </w:pPr>
      <w:r w:rsidRPr="00E66CF8">
        <w:rPr>
          <w:rStyle w:val="Funotenzeichen"/>
          <w:rFonts w:ascii="Times New Roman" w:hAnsi="Times New Roman" w:cs="Times New Roman"/>
          <w:sz w:val="20"/>
          <w:szCs w:val="20"/>
        </w:rPr>
        <w:footnoteRef/>
      </w:r>
      <w:r w:rsidRPr="00E66CF8">
        <w:rPr>
          <w:rFonts w:ascii="Times New Roman" w:hAnsi="Times New Roman" w:cs="Times New Roman"/>
          <w:sz w:val="20"/>
          <w:szCs w:val="20"/>
        </w:rPr>
        <w:t xml:space="preserve"> </w:t>
      </w:r>
      <w:r>
        <w:rPr>
          <w:rFonts w:ascii="Times New Roman" w:hAnsi="Times New Roman" w:cs="Times New Roman"/>
          <w:sz w:val="20"/>
          <w:szCs w:val="20"/>
        </w:rPr>
        <w:t>OJ (EC)</w:t>
      </w:r>
      <w:r w:rsidRPr="00E66CF8">
        <w:rPr>
          <w:rFonts w:ascii="Times New Roman" w:hAnsi="Times New Roman" w:cs="Times New Roman"/>
          <w:sz w:val="20"/>
          <w:szCs w:val="20"/>
        </w:rPr>
        <w:t xml:space="preserve"> 1994 L 1, 3.</w:t>
      </w:r>
    </w:p>
  </w:footnote>
  <w:footnote w:id="21">
    <w:p w14:paraId="10055CE7" w14:textId="1913E3EA" w:rsidR="00D13078" w:rsidRPr="00532509" w:rsidRDefault="00D13078" w:rsidP="00A954E0">
      <w:pPr>
        <w:pStyle w:val="Funotentext"/>
        <w:jc w:val="both"/>
        <w:rPr>
          <w:rFonts w:ascii="Times New Roman" w:hAnsi="Times New Roman" w:cs="Times New Roman"/>
          <w:sz w:val="20"/>
          <w:szCs w:val="20"/>
          <w:lang w:val="en-US"/>
        </w:rPr>
      </w:pPr>
      <w:r w:rsidRPr="00247C1D">
        <w:rPr>
          <w:rStyle w:val="Funotenzeichen"/>
          <w:rFonts w:ascii="Times New Roman" w:hAnsi="Times New Roman" w:cs="Times New Roman"/>
          <w:sz w:val="20"/>
          <w:szCs w:val="20"/>
        </w:rPr>
        <w:footnoteRef/>
      </w:r>
      <w:r w:rsidRPr="00247C1D">
        <w:rPr>
          <w:rFonts w:ascii="Times New Roman" w:hAnsi="Times New Roman" w:cs="Times New Roman"/>
          <w:sz w:val="20"/>
          <w:szCs w:val="20"/>
        </w:rPr>
        <w:t xml:space="preserve"> </w:t>
      </w:r>
      <w:r>
        <w:rPr>
          <w:rFonts w:ascii="Times New Roman" w:hAnsi="Times New Roman" w:cs="Times New Roman"/>
          <w:sz w:val="20"/>
          <w:szCs w:val="20"/>
        </w:rPr>
        <w:t>See</w:t>
      </w:r>
      <w:r w:rsidRPr="00247C1D">
        <w:rPr>
          <w:rFonts w:ascii="Times New Roman" w:hAnsi="Times New Roman" w:cs="Times New Roman"/>
          <w:sz w:val="20"/>
          <w:szCs w:val="20"/>
        </w:rPr>
        <w:t xml:space="preserve"> </w:t>
      </w:r>
      <w:proofErr w:type="spellStart"/>
      <w:r w:rsidRPr="00247C1D">
        <w:rPr>
          <w:rFonts w:ascii="Times New Roman" w:hAnsi="Times New Roman" w:cs="Times New Roman"/>
          <w:i/>
          <w:sz w:val="20"/>
          <w:szCs w:val="20"/>
        </w:rPr>
        <w:t>Kreße</w:t>
      </w:r>
      <w:proofErr w:type="spellEnd"/>
      <w:r w:rsidRPr="004A48B6">
        <w:rPr>
          <w:rFonts w:ascii="Times New Roman" w:hAnsi="Times New Roman" w:cs="Times New Roman"/>
          <w:sz w:val="20"/>
          <w:szCs w:val="20"/>
        </w:rPr>
        <w:t>,</w:t>
      </w:r>
      <w:r w:rsidRPr="00247C1D">
        <w:rPr>
          <w:rFonts w:ascii="Times New Roman" w:hAnsi="Times New Roman" w:cs="Times New Roman"/>
          <w:sz w:val="20"/>
          <w:szCs w:val="20"/>
        </w:rPr>
        <w:t xml:space="preserve"> </w:t>
      </w:r>
      <w:r>
        <w:rPr>
          <w:rFonts w:ascii="Times New Roman" w:hAnsi="Times New Roman" w:cs="Times New Roman"/>
          <w:sz w:val="20"/>
          <w:szCs w:val="20"/>
        </w:rPr>
        <w:t>European Union Private Law Review</w:t>
      </w:r>
      <w:r w:rsidRPr="00247C1D">
        <w:rPr>
          <w:rFonts w:ascii="Times New Roman" w:hAnsi="Times New Roman" w:cs="Times New Roman"/>
          <w:sz w:val="20"/>
          <w:szCs w:val="20"/>
        </w:rPr>
        <w:t xml:space="preserve"> 2018, 210 (</w:t>
      </w:r>
      <w:r>
        <w:rPr>
          <w:rFonts w:ascii="Times New Roman" w:hAnsi="Times New Roman" w:cs="Times New Roman"/>
          <w:sz w:val="20"/>
          <w:szCs w:val="20"/>
        </w:rPr>
        <w:t xml:space="preserve">p. </w:t>
      </w:r>
      <w:r w:rsidRPr="00247C1D">
        <w:rPr>
          <w:rFonts w:ascii="Times New Roman" w:hAnsi="Times New Roman" w:cs="Times New Roman"/>
          <w:sz w:val="20"/>
          <w:szCs w:val="20"/>
        </w:rPr>
        <w:t>211)</w:t>
      </w:r>
      <w:r>
        <w:rPr>
          <w:rFonts w:ascii="Times New Roman" w:hAnsi="Times New Roman" w:cs="Times New Roman"/>
          <w:sz w:val="20"/>
          <w:szCs w:val="20"/>
        </w:rPr>
        <w:t xml:space="preserve">; </w:t>
      </w:r>
      <w:r w:rsidRPr="005B4D0E">
        <w:rPr>
          <w:rFonts w:ascii="Times New Roman" w:hAnsi="Times New Roman" w:cs="Times New Roman"/>
          <w:i/>
          <w:sz w:val="20"/>
          <w:szCs w:val="20"/>
        </w:rPr>
        <w:t>Ludwigs</w:t>
      </w:r>
      <w:r w:rsidRPr="004A48B6">
        <w:rPr>
          <w:rFonts w:ascii="Times New Roman" w:hAnsi="Times New Roman" w:cs="Times New Roman"/>
          <w:sz w:val="20"/>
          <w:szCs w:val="20"/>
        </w:rPr>
        <w:t>,</w:t>
      </w:r>
      <w:r w:rsidRPr="005B4D0E">
        <w:rPr>
          <w:rFonts w:ascii="Times New Roman" w:hAnsi="Times New Roman" w:cs="Times New Roman"/>
          <w:i/>
          <w:sz w:val="20"/>
          <w:szCs w:val="20"/>
        </w:rPr>
        <w:t xml:space="preserve"> </w:t>
      </w:r>
      <w:r w:rsidRPr="005B4D0E">
        <w:rPr>
          <w:rFonts w:ascii="Times New Roman" w:hAnsi="Times New Roman" w:cs="Times New Roman"/>
          <w:sz w:val="20"/>
          <w:szCs w:val="20"/>
        </w:rPr>
        <w:t>in Mü</w:t>
      </w:r>
      <w:r>
        <w:rPr>
          <w:rFonts w:ascii="Times New Roman" w:hAnsi="Times New Roman" w:cs="Times New Roman"/>
          <w:sz w:val="20"/>
          <w:szCs w:val="20"/>
        </w:rPr>
        <w:t>nchener Kommentar zum Kartellrecht</w:t>
      </w:r>
      <w:r>
        <w:rPr>
          <w:rFonts w:ascii="Times New Roman" w:hAnsi="Times New Roman" w:cs="Times New Roman"/>
          <w:sz w:val="20"/>
          <w:szCs w:val="20"/>
          <w:lang w:val="en-US"/>
        </w:rPr>
        <w:t>, vol</w:t>
      </w:r>
      <w:r w:rsidRPr="00A954E0">
        <w:rPr>
          <w:rFonts w:ascii="Times New Roman" w:hAnsi="Times New Roman" w:cs="Times New Roman"/>
          <w:sz w:val="20"/>
          <w:szCs w:val="20"/>
          <w:lang w:val="en-US"/>
        </w:rPr>
        <w:t>. </w:t>
      </w:r>
      <w:proofErr w:type="gramStart"/>
      <w:r w:rsidRPr="00A954E0">
        <w:rPr>
          <w:rFonts w:ascii="Times New Roman" w:hAnsi="Times New Roman" w:cs="Times New Roman"/>
          <w:sz w:val="20"/>
          <w:szCs w:val="20"/>
          <w:lang w:val="en-US"/>
        </w:rPr>
        <w:t>5, 2</w:t>
      </w:r>
      <w:r w:rsidRPr="00A954E0">
        <w:rPr>
          <w:rFonts w:ascii="Times New Roman" w:hAnsi="Times New Roman" w:cs="Times New Roman"/>
          <w:sz w:val="20"/>
          <w:szCs w:val="20"/>
          <w:vertAlign w:val="superscript"/>
          <w:lang w:val="en-US"/>
        </w:rPr>
        <w:t>nd</w:t>
      </w:r>
      <w:r>
        <w:rPr>
          <w:rFonts w:ascii="Times New Roman" w:hAnsi="Times New Roman" w:cs="Times New Roman"/>
          <w:sz w:val="20"/>
          <w:szCs w:val="20"/>
          <w:lang w:val="en-US"/>
        </w:rPr>
        <w:t xml:space="preserve"> ed</w:t>
      </w:r>
      <w:r w:rsidRPr="00A954E0">
        <w:rPr>
          <w:rFonts w:ascii="Times New Roman" w:hAnsi="Times New Roman" w:cs="Times New Roman"/>
          <w:sz w:val="20"/>
          <w:szCs w:val="20"/>
          <w:lang w:val="en-US"/>
        </w:rPr>
        <w:t xml:space="preserve">. 2018, </w:t>
      </w:r>
      <w:r>
        <w:rPr>
          <w:rFonts w:ascii="Times New Roman" w:hAnsi="Times New Roman" w:cs="Times New Roman"/>
          <w:sz w:val="20"/>
          <w:szCs w:val="20"/>
          <w:lang w:val="en-US"/>
        </w:rPr>
        <w:t>TFEU</w:t>
      </w:r>
      <w:r w:rsidRPr="00A954E0">
        <w:rPr>
          <w:rFonts w:ascii="Times New Roman" w:hAnsi="Times New Roman" w:cs="Times New Roman"/>
          <w:sz w:val="20"/>
          <w:szCs w:val="20"/>
          <w:lang w:val="en-US"/>
        </w:rPr>
        <w:t xml:space="preserve"> Art.</w:t>
      </w:r>
      <w:proofErr w:type="gramEnd"/>
      <w:r w:rsidRPr="00A954E0">
        <w:rPr>
          <w:rFonts w:ascii="Times New Roman" w:hAnsi="Times New Roman" w:cs="Times New Roman"/>
          <w:sz w:val="20"/>
          <w:szCs w:val="20"/>
          <w:lang w:val="en-US"/>
        </w:rPr>
        <w:t xml:space="preserve"> </w:t>
      </w:r>
      <w:proofErr w:type="gramStart"/>
      <w:r w:rsidRPr="00A954E0">
        <w:rPr>
          <w:rFonts w:ascii="Times New Roman" w:hAnsi="Times New Roman" w:cs="Times New Roman"/>
          <w:sz w:val="20"/>
          <w:szCs w:val="20"/>
          <w:lang w:val="en-US"/>
        </w:rPr>
        <w:t xml:space="preserve">107 </w:t>
      </w:r>
      <w:r>
        <w:rPr>
          <w:rFonts w:ascii="Times New Roman" w:hAnsi="Times New Roman" w:cs="Times New Roman"/>
          <w:sz w:val="20"/>
          <w:szCs w:val="20"/>
          <w:lang w:val="en-US"/>
        </w:rPr>
        <w:t>no</w:t>
      </w:r>
      <w:r w:rsidRPr="00A954E0">
        <w:rPr>
          <w:rFonts w:ascii="Times New Roman" w:hAnsi="Times New Roman" w:cs="Times New Roman"/>
          <w:sz w:val="20"/>
          <w:szCs w:val="20"/>
          <w:lang w:val="en-US"/>
        </w:rPr>
        <w:t xml:space="preserve">. 5; </w:t>
      </w:r>
      <w:r w:rsidRPr="00A954E0">
        <w:rPr>
          <w:rFonts w:ascii="Times New Roman" w:hAnsi="Times New Roman" w:cs="Times New Roman"/>
          <w:i/>
          <w:sz w:val="20"/>
          <w:szCs w:val="20"/>
          <w:lang w:val="en-US"/>
        </w:rPr>
        <w:t>Cremer</w:t>
      </w:r>
      <w:r w:rsidRPr="004A48B6">
        <w:rPr>
          <w:rFonts w:ascii="Times New Roman" w:hAnsi="Times New Roman" w:cs="Times New Roman"/>
          <w:sz w:val="20"/>
          <w:szCs w:val="20"/>
          <w:lang w:val="en-US"/>
        </w:rPr>
        <w:t>,</w:t>
      </w:r>
      <w:r w:rsidRPr="00A954E0">
        <w:rPr>
          <w:rFonts w:ascii="Times New Roman" w:hAnsi="Times New Roman" w:cs="Times New Roman"/>
          <w:sz w:val="20"/>
          <w:szCs w:val="20"/>
          <w:lang w:val="en-US"/>
        </w:rPr>
        <w:t xml:space="preserve"> in </w:t>
      </w:r>
      <w:proofErr w:type="spellStart"/>
      <w:r w:rsidRPr="00A954E0">
        <w:rPr>
          <w:rFonts w:ascii="Times New Roman" w:hAnsi="Times New Roman" w:cs="Times New Roman"/>
          <w:sz w:val="20"/>
          <w:szCs w:val="20"/>
          <w:lang w:val="en-US"/>
        </w:rPr>
        <w:t>Calliess</w:t>
      </w:r>
      <w:proofErr w:type="spellEnd"/>
      <w:r w:rsidRPr="00A954E0">
        <w:rPr>
          <w:rFonts w:ascii="Times New Roman" w:hAnsi="Times New Roman" w:cs="Times New Roman"/>
          <w:sz w:val="20"/>
          <w:szCs w:val="20"/>
          <w:lang w:val="en-US"/>
        </w:rPr>
        <w:t>/</w:t>
      </w:r>
      <w:proofErr w:type="spellStart"/>
      <w:r w:rsidRPr="00A954E0">
        <w:rPr>
          <w:rFonts w:ascii="Times New Roman" w:hAnsi="Times New Roman" w:cs="Times New Roman"/>
          <w:sz w:val="20"/>
          <w:szCs w:val="20"/>
          <w:lang w:val="en-US"/>
        </w:rPr>
        <w:t>Ruffert</w:t>
      </w:r>
      <w:proofErr w:type="spellEnd"/>
      <w:r w:rsidRPr="00A954E0">
        <w:rPr>
          <w:rFonts w:ascii="Times New Roman" w:hAnsi="Times New Roman" w:cs="Times New Roman"/>
          <w:sz w:val="20"/>
          <w:szCs w:val="20"/>
          <w:lang w:val="en-US"/>
        </w:rPr>
        <w:t>, 5</w:t>
      </w:r>
      <w:r w:rsidRPr="00A954E0">
        <w:rPr>
          <w:rFonts w:ascii="Times New Roman" w:hAnsi="Times New Roman" w:cs="Times New Roman"/>
          <w:sz w:val="20"/>
          <w:szCs w:val="20"/>
          <w:vertAlign w:val="superscript"/>
          <w:lang w:val="en-US"/>
        </w:rPr>
        <w:t>th</w:t>
      </w:r>
      <w:r>
        <w:rPr>
          <w:rFonts w:ascii="Times New Roman" w:hAnsi="Times New Roman" w:cs="Times New Roman"/>
          <w:sz w:val="20"/>
          <w:szCs w:val="20"/>
          <w:lang w:val="en-US"/>
        </w:rPr>
        <w:t xml:space="preserve"> ed</w:t>
      </w:r>
      <w:r w:rsidRPr="00A954E0">
        <w:rPr>
          <w:rFonts w:ascii="Times New Roman" w:hAnsi="Times New Roman" w:cs="Times New Roman"/>
          <w:sz w:val="20"/>
          <w:szCs w:val="20"/>
          <w:lang w:val="en-US"/>
        </w:rPr>
        <w:t>. 2016,</w:t>
      </w:r>
      <w:r>
        <w:rPr>
          <w:rFonts w:ascii="Times New Roman" w:hAnsi="Times New Roman" w:cs="Times New Roman"/>
          <w:sz w:val="20"/>
          <w:szCs w:val="20"/>
          <w:lang w:val="en-US"/>
        </w:rPr>
        <w:t xml:space="preserve"> TFEU</w:t>
      </w:r>
      <w:r w:rsidRPr="00A954E0">
        <w:rPr>
          <w:rFonts w:ascii="Times New Roman" w:hAnsi="Times New Roman" w:cs="Times New Roman"/>
          <w:sz w:val="20"/>
          <w:szCs w:val="20"/>
          <w:lang w:val="en-US"/>
        </w:rPr>
        <w:t xml:space="preserve"> Art.</w:t>
      </w:r>
      <w:proofErr w:type="gramEnd"/>
      <w:r w:rsidRPr="00A954E0">
        <w:rPr>
          <w:rFonts w:ascii="Times New Roman" w:hAnsi="Times New Roman" w:cs="Times New Roman"/>
          <w:sz w:val="20"/>
          <w:szCs w:val="20"/>
          <w:lang w:val="en-US"/>
        </w:rPr>
        <w:t xml:space="preserve"> </w:t>
      </w:r>
      <w:proofErr w:type="gramStart"/>
      <w:r w:rsidRPr="00A954E0">
        <w:rPr>
          <w:rFonts w:ascii="Times New Roman" w:hAnsi="Times New Roman" w:cs="Times New Roman"/>
          <w:sz w:val="20"/>
          <w:szCs w:val="20"/>
          <w:lang w:val="en-US"/>
        </w:rPr>
        <w:t xml:space="preserve">107 </w:t>
      </w:r>
      <w:proofErr w:type="spellStart"/>
      <w:r>
        <w:rPr>
          <w:rFonts w:ascii="Times New Roman" w:hAnsi="Times New Roman" w:cs="Times New Roman"/>
          <w:sz w:val="20"/>
          <w:szCs w:val="20"/>
        </w:rPr>
        <w:t>no</w:t>
      </w:r>
      <w:proofErr w:type="spellEnd"/>
      <w:r>
        <w:rPr>
          <w:rFonts w:ascii="Times New Roman" w:hAnsi="Times New Roman" w:cs="Times New Roman"/>
          <w:sz w:val="20"/>
          <w:szCs w:val="20"/>
        </w:rPr>
        <w:t>. 6</w:t>
      </w:r>
      <w:r w:rsidRPr="00247C1D">
        <w:rPr>
          <w:rFonts w:ascii="Times New Roman" w:hAnsi="Times New Roman" w:cs="Times New Roman"/>
          <w:sz w:val="20"/>
          <w:szCs w:val="20"/>
        </w:rPr>
        <w:t>.</w:t>
      </w:r>
      <w:proofErr w:type="gramEnd"/>
    </w:p>
  </w:footnote>
  <w:footnote w:id="22">
    <w:p w14:paraId="4DAEB35D" w14:textId="2B1B5808" w:rsidR="00D13078" w:rsidRPr="00532509" w:rsidRDefault="00D13078" w:rsidP="00275172">
      <w:pPr>
        <w:pStyle w:val="Funotentext"/>
        <w:jc w:val="both"/>
        <w:rPr>
          <w:rFonts w:ascii="Times New Roman" w:hAnsi="Times New Roman" w:cs="Times New Roman"/>
          <w:sz w:val="20"/>
          <w:szCs w:val="20"/>
          <w:lang w:val="en-US"/>
        </w:rPr>
      </w:pPr>
      <w:r w:rsidRPr="00532509">
        <w:rPr>
          <w:rStyle w:val="Funotenzeichen"/>
          <w:rFonts w:ascii="Times New Roman" w:hAnsi="Times New Roman" w:cs="Times New Roman"/>
          <w:sz w:val="20"/>
          <w:szCs w:val="20"/>
          <w:lang w:val="en-US"/>
        </w:rPr>
        <w:footnoteRef/>
      </w:r>
      <w:r w:rsidRPr="00532509">
        <w:rPr>
          <w:rFonts w:ascii="Times New Roman" w:hAnsi="Times New Roman" w:cs="Times New Roman"/>
          <w:sz w:val="20"/>
          <w:szCs w:val="20"/>
          <w:lang w:val="en-US"/>
        </w:rPr>
        <w:t xml:space="preserve"> </w:t>
      </w:r>
      <w:r w:rsidRPr="00532509">
        <w:rPr>
          <w:rFonts w:ascii="Times New Roman" w:hAnsi="Times New Roman" w:cs="Times New Roman"/>
          <w:i/>
          <w:sz w:val="20"/>
          <w:szCs w:val="20"/>
          <w:lang w:val="en-US"/>
        </w:rPr>
        <w:t>Von Wallenberg/</w:t>
      </w:r>
      <w:proofErr w:type="spellStart"/>
      <w:r w:rsidRPr="00532509">
        <w:rPr>
          <w:rFonts w:ascii="Times New Roman" w:hAnsi="Times New Roman" w:cs="Times New Roman"/>
          <w:i/>
          <w:sz w:val="20"/>
          <w:szCs w:val="20"/>
          <w:lang w:val="en-US"/>
        </w:rPr>
        <w:t>Schütte</w:t>
      </w:r>
      <w:proofErr w:type="spellEnd"/>
      <w:r w:rsidRPr="00AF6052">
        <w:rPr>
          <w:rFonts w:ascii="Times New Roman" w:hAnsi="Times New Roman" w:cs="Times New Roman"/>
          <w:sz w:val="20"/>
          <w:szCs w:val="20"/>
          <w:lang w:val="en-US"/>
        </w:rPr>
        <w:t>,</w:t>
      </w:r>
      <w:r w:rsidRPr="00532509">
        <w:rPr>
          <w:rFonts w:ascii="Times New Roman" w:hAnsi="Times New Roman" w:cs="Times New Roman"/>
          <w:sz w:val="20"/>
          <w:szCs w:val="20"/>
          <w:lang w:val="en-US"/>
        </w:rPr>
        <w:t xml:space="preserve"> in </w:t>
      </w:r>
      <w:proofErr w:type="spellStart"/>
      <w:r w:rsidRPr="00532509">
        <w:rPr>
          <w:rFonts w:ascii="Times New Roman" w:hAnsi="Times New Roman" w:cs="Times New Roman"/>
          <w:sz w:val="20"/>
          <w:szCs w:val="20"/>
          <w:lang w:val="en-US"/>
        </w:rPr>
        <w:t>Grabitz</w:t>
      </w:r>
      <w:proofErr w:type="spellEnd"/>
      <w:r w:rsidRPr="00532509">
        <w:rPr>
          <w:rFonts w:ascii="Times New Roman" w:hAnsi="Times New Roman" w:cs="Times New Roman"/>
          <w:sz w:val="20"/>
          <w:szCs w:val="20"/>
          <w:lang w:val="en-US"/>
        </w:rPr>
        <w:t>/</w:t>
      </w:r>
      <w:proofErr w:type="spellStart"/>
      <w:r w:rsidRPr="00532509">
        <w:rPr>
          <w:rFonts w:ascii="Times New Roman" w:hAnsi="Times New Roman" w:cs="Times New Roman"/>
          <w:sz w:val="20"/>
          <w:szCs w:val="20"/>
          <w:lang w:val="en-US"/>
        </w:rPr>
        <w:t>Hilf</w:t>
      </w:r>
      <w:proofErr w:type="spellEnd"/>
      <w:r w:rsidRPr="00532509">
        <w:rPr>
          <w:rFonts w:ascii="Times New Roman" w:hAnsi="Times New Roman" w:cs="Times New Roman"/>
          <w:sz w:val="20"/>
          <w:szCs w:val="20"/>
          <w:lang w:val="en-US"/>
        </w:rPr>
        <w:t>/</w:t>
      </w:r>
      <w:proofErr w:type="spellStart"/>
      <w:r w:rsidRPr="00532509">
        <w:rPr>
          <w:rFonts w:ascii="Times New Roman" w:hAnsi="Times New Roman" w:cs="Times New Roman"/>
          <w:sz w:val="20"/>
          <w:szCs w:val="20"/>
          <w:lang w:val="en-US"/>
        </w:rPr>
        <w:t>Nettesheim</w:t>
      </w:r>
      <w:proofErr w:type="spellEnd"/>
      <w:r w:rsidRPr="00532509">
        <w:rPr>
          <w:rFonts w:ascii="Times New Roman" w:hAnsi="Times New Roman" w:cs="Times New Roman"/>
          <w:sz w:val="20"/>
          <w:szCs w:val="20"/>
          <w:lang w:val="en-US"/>
        </w:rPr>
        <w:t xml:space="preserve">, Status as of May 2018, TFEU Art. </w:t>
      </w:r>
      <w:proofErr w:type="gramStart"/>
      <w:r w:rsidRPr="00532509">
        <w:rPr>
          <w:rFonts w:ascii="Times New Roman" w:hAnsi="Times New Roman" w:cs="Times New Roman"/>
          <w:sz w:val="20"/>
          <w:szCs w:val="20"/>
          <w:lang w:val="en-US"/>
        </w:rPr>
        <w:t>107 no. 10.</w:t>
      </w:r>
      <w:proofErr w:type="gramEnd"/>
      <w:r w:rsidRPr="00532509">
        <w:rPr>
          <w:rFonts w:ascii="Times New Roman" w:hAnsi="Times New Roman" w:cs="Times New Roman"/>
          <w:sz w:val="20"/>
          <w:szCs w:val="20"/>
          <w:lang w:val="en-US"/>
        </w:rPr>
        <w:t xml:space="preserve">  </w:t>
      </w:r>
    </w:p>
  </w:footnote>
  <w:footnote w:id="23">
    <w:p w14:paraId="231CEC0D" w14:textId="6C7E4AD2" w:rsidR="00D13078" w:rsidRPr="00364AD9" w:rsidRDefault="00D13078" w:rsidP="00532509">
      <w:pPr>
        <w:pStyle w:val="Funotentext"/>
        <w:jc w:val="both"/>
        <w:rPr>
          <w:rFonts w:ascii="Times New Roman" w:hAnsi="Times New Roman" w:cs="Times New Roman"/>
          <w:sz w:val="20"/>
          <w:szCs w:val="20"/>
        </w:rPr>
      </w:pPr>
      <w:r w:rsidRPr="00532509">
        <w:rPr>
          <w:rStyle w:val="Funotenzeichen"/>
          <w:rFonts w:ascii="Times New Roman" w:hAnsi="Times New Roman" w:cs="Times New Roman"/>
          <w:sz w:val="20"/>
          <w:szCs w:val="20"/>
          <w:lang w:val="en-US"/>
        </w:rPr>
        <w:footnoteRef/>
      </w:r>
      <w:r w:rsidRPr="00532509">
        <w:rPr>
          <w:rFonts w:ascii="Times New Roman" w:hAnsi="Times New Roman" w:cs="Times New Roman"/>
          <w:sz w:val="20"/>
          <w:szCs w:val="20"/>
          <w:lang w:val="en-US"/>
        </w:rPr>
        <w:t xml:space="preserve"> </w:t>
      </w:r>
      <w:proofErr w:type="spellStart"/>
      <w:proofErr w:type="gramStart"/>
      <w:r w:rsidRPr="00532509">
        <w:rPr>
          <w:rFonts w:ascii="Times New Roman" w:hAnsi="Times New Roman" w:cs="Times New Roman"/>
          <w:i/>
          <w:sz w:val="20"/>
          <w:szCs w:val="20"/>
          <w:lang w:val="en-US"/>
        </w:rPr>
        <w:t>Ludwigs</w:t>
      </w:r>
      <w:proofErr w:type="spellEnd"/>
      <w:r w:rsidRPr="00AF6052">
        <w:rPr>
          <w:rFonts w:ascii="Times New Roman" w:hAnsi="Times New Roman" w:cs="Times New Roman"/>
          <w:sz w:val="20"/>
          <w:szCs w:val="20"/>
          <w:lang w:val="en-US"/>
        </w:rPr>
        <w:t>,</w:t>
      </w:r>
      <w:r w:rsidRPr="00532509">
        <w:rPr>
          <w:rFonts w:ascii="Times New Roman" w:hAnsi="Times New Roman" w:cs="Times New Roman"/>
          <w:i/>
          <w:sz w:val="20"/>
          <w:szCs w:val="20"/>
          <w:lang w:val="en-US"/>
        </w:rPr>
        <w:t xml:space="preserve"> </w:t>
      </w:r>
      <w:r w:rsidRPr="00532509">
        <w:rPr>
          <w:rFonts w:ascii="Times New Roman" w:hAnsi="Times New Roman" w:cs="Times New Roman"/>
          <w:sz w:val="20"/>
          <w:szCs w:val="20"/>
          <w:lang w:val="en-US"/>
        </w:rPr>
        <w:t xml:space="preserve">in </w:t>
      </w:r>
      <w:proofErr w:type="spellStart"/>
      <w:r w:rsidRPr="00532509">
        <w:rPr>
          <w:rFonts w:ascii="Times New Roman" w:hAnsi="Times New Roman" w:cs="Times New Roman"/>
          <w:sz w:val="20"/>
          <w:szCs w:val="20"/>
          <w:lang w:val="en-US"/>
        </w:rPr>
        <w:t>Mü</w:t>
      </w:r>
      <w:r>
        <w:rPr>
          <w:rFonts w:ascii="Times New Roman" w:hAnsi="Times New Roman" w:cs="Times New Roman"/>
          <w:sz w:val="20"/>
          <w:szCs w:val="20"/>
          <w:lang w:val="en-US"/>
        </w:rPr>
        <w:t>nchener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Kommentar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zum</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Kartellrecht</w:t>
      </w:r>
      <w:proofErr w:type="spellEnd"/>
      <w:r>
        <w:rPr>
          <w:rFonts w:ascii="Times New Roman" w:hAnsi="Times New Roman" w:cs="Times New Roman"/>
          <w:sz w:val="20"/>
          <w:szCs w:val="20"/>
          <w:lang w:val="en-US"/>
        </w:rPr>
        <w:t>,</w:t>
      </w:r>
      <w:r w:rsidRPr="00532509">
        <w:rPr>
          <w:rFonts w:ascii="Times New Roman" w:hAnsi="Times New Roman" w:cs="Times New Roman"/>
          <w:sz w:val="20"/>
          <w:szCs w:val="20"/>
          <w:lang w:val="en-US"/>
        </w:rPr>
        <w:t xml:space="preserve"> </w:t>
      </w:r>
      <w:r>
        <w:rPr>
          <w:rFonts w:ascii="Times New Roman" w:hAnsi="Times New Roman" w:cs="Times New Roman"/>
          <w:sz w:val="20"/>
          <w:szCs w:val="20"/>
          <w:lang w:val="en-US"/>
        </w:rPr>
        <w:t>vol</w:t>
      </w:r>
      <w:r w:rsidRPr="00532509">
        <w:rPr>
          <w:rFonts w:ascii="Times New Roman" w:hAnsi="Times New Roman" w:cs="Times New Roman"/>
          <w:sz w:val="20"/>
          <w:szCs w:val="20"/>
          <w:lang w:val="en-US"/>
        </w:rPr>
        <w:t>. 5, 2</w:t>
      </w:r>
      <w:r w:rsidRPr="00532509">
        <w:rPr>
          <w:rFonts w:ascii="Times New Roman" w:hAnsi="Times New Roman" w:cs="Times New Roman"/>
          <w:sz w:val="20"/>
          <w:szCs w:val="20"/>
          <w:vertAlign w:val="superscript"/>
          <w:lang w:val="en-US"/>
        </w:rPr>
        <w:t>nd</w:t>
      </w:r>
      <w:r>
        <w:rPr>
          <w:rFonts w:ascii="Times New Roman" w:hAnsi="Times New Roman" w:cs="Times New Roman"/>
          <w:sz w:val="20"/>
          <w:szCs w:val="20"/>
          <w:lang w:val="en-US"/>
        </w:rPr>
        <w:t xml:space="preserve"> ed</w:t>
      </w:r>
      <w:r w:rsidRPr="00532509">
        <w:rPr>
          <w:rFonts w:ascii="Times New Roman" w:hAnsi="Times New Roman" w:cs="Times New Roman"/>
          <w:sz w:val="20"/>
          <w:szCs w:val="20"/>
          <w:lang w:val="en-US"/>
        </w:rPr>
        <w:t xml:space="preserve">. 2018, </w:t>
      </w:r>
      <w:r>
        <w:rPr>
          <w:rFonts w:ascii="Times New Roman" w:hAnsi="Times New Roman" w:cs="Times New Roman"/>
          <w:sz w:val="20"/>
          <w:szCs w:val="20"/>
          <w:lang w:val="en-US"/>
        </w:rPr>
        <w:t>TFEU</w:t>
      </w:r>
      <w:r w:rsidRPr="00532509">
        <w:rPr>
          <w:rFonts w:ascii="Times New Roman" w:hAnsi="Times New Roman" w:cs="Times New Roman"/>
          <w:sz w:val="20"/>
          <w:szCs w:val="20"/>
          <w:lang w:val="en-US"/>
        </w:rPr>
        <w:t xml:space="preserve"> Art.</w:t>
      </w:r>
      <w:proofErr w:type="gramEnd"/>
      <w:r w:rsidRPr="00532509">
        <w:rPr>
          <w:rFonts w:ascii="Times New Roman" w:hAnsi="Times New Roman" w:cs="Times New Roman"/>
          <w:sz w:val="20"/>
          <w:szCs w:val="20"/>
          <w:lang w:val="en-US"/>
        </w:rPr>
        <w:t xml:space="preserve"> </w:t>
      </w:r>
      <w:proofErr w:type="gramStart"/>
      <w:r w:rsidRPr="00532509">
        <w:rPr>
          <w:rFonts w:ascii="Times New Roman" w:hAnsi="Times New Roman" w:cs="Times New Roman"/>
          <w:sz w:val="20"/>
          <w:szCs w:val="20"/>
          <w:lang w:val="en-US"/>
        </w:rPr>
        <w:t>107</w:t>
      </w:r>
      <w:r w:rsidRPr="00364AD9">
        <w:rPr>
          <w:rFonts w:ascii="Times New Roman" w:hAnsi="Times New Roman" w:cs="Times New Roman"/>
          <w:sz w:val="20"/>
          <w:szCs w:val="20"/>
        </w:rPr>
        <w:t xml:space="preserve"> </w:t>
      </w:r>
      <w:proofErr w:type="spellStart"/>
      <w:r>
        <w:rPr>
          <w:rFonts w:ascii="Times New Roman" w:hAnsi="Times New Roman" w:cs="Times New Roman"/>
          <w:sz w:val="20"/>
          <w:szCs w:val="20"/>
        </w:rPr>
        <w:t>no</w:t>
      </w:r>
      <w:proofErr w:type="spellEnd"/>
      <w:r w:rsidRPr="00364AD9">
        <w:rPr>
          <w:rFonts w:ascii="Times New Roman" w:hAnsi="Times New Roman" w:cs="Times New Roman"/>
          <w:sz w:val="20"/>
          <w:szCs w:val="20"/>
        </w:rPr>
        <w:t>. 6.</w:t>
      </w:r>
      <w:proofErr w:type="gramEnd"/>
    </w:p>
  </w:footnote>
  <w:footnote w:id="24">
    <w:p w14:paraId="50B99A57" w14:textId="440947AF" w:rsidR="00D13078" w:rsidRPr="00CF4BAA" w:rsidRDefault="00D13078" w:rsidP="00CF4BAA">
      <w:pPr>
        <w:pStyle w:val="Funotentext"/>
        <w:jc w:val="both"/>
        <w:rPr>
          <w:rFonts w:ascii="Times New Roman" w:hAnsi="Times New Roman" w:cs="Times New Roman"/>
          <w:sz w:val="20"/>
          <w:szCs w:val="20"/>
          <w:lang w:val="en-US"/>
        </w:rPr>
      </w:pPr>
      <w:r w:rsidRPr="00364AD9">
        <w:rPr>
          <w:rStyle w:val="Funotenzeichen"/>
          <w:rFonts w:ascii="Times New Roman" w:hAnsi="Times New Roman" w:cs="Times New Roman"/>
          <w:sz w:val="20"/>
          <w:szCs w:val="20"/>
        </w:rPr>
        <w:footnoteRef/>
      </w:r>
      <w:r w:rsidRPr="00364AD9">
        <w:rPr>
          <w:rFonts w:ascii="Times New Roman" w:hAnsi="Times New Roman" w:cs="Times New Roman"/>
          <w:sz w:val="20"/>
          <w:szCs w:val="20"/>
        </w:rPr>
        <w:t xml:space="preserve"> </w:t>
      </w:r>
      <w:r w:rsidRPr="00CF4BAA">
        <w:rPr>
          <w:rFonts w:ascii="Times New Roman" w:hAnsi="Times New Roman" w:cs="Times New Roman"/>
          <w:sz w:val="20"/>
          <w:szCs w:val="20"/>
          <w:lang w:val="en-US"/>
        </w:rPr>
        <w:t>E</w:t>
      </w:r>
      <w:r>
        <w:rPr>
          <w:rFonts w:ascii="Times New Roman" w:hAnsi="Times New Roman" w:cs="Times New Roman"/>
          <w:sz w:val="20"/>
          <w:szCs w:val="20"/>
          <w:lang w:val="en-US"/>
        </w:rPr>
        <w:t>CJ</w:t>
      </w:r>
      <w:r w:rsidRPr="00CF4BAA">
        <w:rPr>
          <w:rFonts w:ascii="Times New Roman" w:hAnsi="Times New Roman" w:cs="Times New Roman"/>
          <w:sz w:val="20"/>
          <w:szCs w:val="20"/>
          <w:lang w:val="en-US"/>
        </w:rPr>
        <w:t xml:space="preserve"> </w:t>
      </w:r>
      <w:r>
        <w:rPr>
          <w:rFonts w:ascii="Times New Roman" w:hAnsi="Times New Roman" w:cs="Times New Roman"/>
          <w:sz w:val="20"/>
          <w:szCs w:val="20"/>
          <w:lang w:val="en-US"/>
        </w:rPr>
        <w:t>03/21/</w:t>
      </w:r>
      <w:r w:rsidRPr="00CF4BAA">
        <w:rPr>
          <w:rFonts w:ascii="Times New Roman" w:hAnsi="Times New Roman" w:cs="Times New Roman"/>
          <w:sz w:val="20"/>
          <w:szCs w:val="20"/>
          <w:lang w:val="en-US"/>
        </w:rPr>
        <w:t xml:space="preserve">1990 – C-142/87, </w:t>
      </w:r>
      <w:r>
        <w:rPr>
          <w:rFonts w:ascii="Times New Roman" w:hAnsi="Times New Roman" w:cs="Times New Roman"/>
          <w:sz w:val="20"/>
          <w:szCs w:val="20"/>
          <w:lang w:val="en-US"/>
        </w:rPr>
        <w:t>ECR</w:t>
      </w:r>
      <w:r w:rsidRPr="00CF4BAA">
        <w:rPr>
          <w:rFonts w:ascii="Times New Roman" w:hAnsi="Times New Roman" w:cs="Times New Roman"/>
          <w:sz w:val="20"/>
          <w:szCs w:val="20"/>
          <w:lang w:val="en-US"/>
        </w:rPr>
        <w:t xml:space="preserve"> 1990, I-959 </w:t>
      </w:r>
      <w:r>
        <w:rPr>
          <w:rFonts w:ascii="Times New Roman" w:hAnsi="Times New Roman" w:cs="Times New Roman"/>
          <w:sz w:val="20"/>
          <w:szCs w:val="20"/>
          <w:lang w:val="en-US"/>
        </w:rPr>
        <w:t>no</w:t>
      </w:r>
      <w:r w:rsidRPr="00CF4BAA">
        <w:rPr>
          <w:rFonts w:ascii="Times New Roman" w:hAnsi="Times New Roman" w:cs="Times New Roman"/>
          <w:sz w:val="20"/>
          <w:szCs w:val="20"/>
          <w:lang w:val="en-US"/>
        </w:rPr>
        <w:t xml:space="preserve">. 32  – </w:t>
      </w:r>
      <w:proofErr w:type="spellStart"/>
      <w:r w:rsidRPr="00CF4BAA">
        <w:rPr>
          <w:rFonts w:ascii="Times New Roman" w:hAnsi="Times New Roman" w:cs="Times New Roman"/>
          <w:sz w:val="20"/>
          <w:szCs w:val="20"/>
          <w:lang w:val="en-US"/>
        </w:rPr>
        <w:t>Tubemeuse</w:t>
      </w:r>
      <w:proofErr w:type="spellEnd"/>
      <w:r w:rsidRPr="00CF4BAA">
        <w:rPr>
          <w:rFonts w:ascii="Times New Roman" w:hAnsi="Times New Roman" w:cs="Times New Roman"/>
          <w:sz w:val="20"/>
          <w:szCs w:val="20"/>
          <w:lang w:val="en-US"/>
        </w:rPr>
        <w:t xml:space="preserve">; </w:t>
      </w:r>
      <w:r>
        <w:rPr>
          <w:rFonts w:ascii="Times New Roman" w:hAnsi="Times New Roman" w:cs="Times New Roman"/>
          <w:sz w:val="20"/>
          <w:szCs w:val="20"/>
          <w:lang w:val="en-US"/>
        </w:rPr>
        <w:t>4/30/</w:t>
      </w:r>
      <w:r w:rsidRPr="00CF4BAA">
        <w:rPr>
          <w:rFonts w:ascii="Times New Roman" w:hAnsi="Times New Roman" w:cs="Times New Roman"/>
          <w:sz w:val="20"/>
          <w:szCs w:val="20"/>
          <w:lang w:val="en-US"/>
        </w:rPr>
        <w:t xml:space="preserve">2009 – C-494/06 P, </w:t>
      </w:r>
      <w:r>
        <w:rPr>
          <w:rFonts w:ascii="Times New Roman" w:hAnsi="Times New Roman" w:cs="Times New Roman"/>
          <w:sz w:val="20"/>
          <w:szCs w:val="20"/>
          <w:lang w:val="en-US"/>
        </w:rPr>
        <w:t>ECR</w:t>
      </w:r>
      <w:r w:rsidRPr="00CF4BAA">
        <w:rPr>
          <w:rFonts w:ascii="Times New Roman" w:hAnsi="Times New Roman" w:cs="Times New Roman"/>
          <w:sz w:val="20"/>
          <w:szCs w:val="20"/>
          <w:lang w:val="en-US"/>
        </w:rPr>
        <w:t xml:space="preserve"> 2009, I-3639 </w:t>
      </w:r>
      <w:r>
        <w:rPr>
          <w:rFonts w:ascii="Times New Roman" w:hAnsi="Times New Roman" w:cs="Times New Roman"/>
          <w:sz w:val="20"/>
          <w:szCs w:val="20"/>
          <w:lang w:val="en-US"/>
        </w:rPr>
        <w:t>no</w:t>
      </w:r>
      <w:r w:rsidRPr="00CF4BAA">
        <w:rPr>
          <w:rFonts w:ascii="Times New Roman" w:hAnsi="Times New Roman" w:cs="Times New Roman"/>
          <w:sz w:val="20"/>
          <w:szCs w:val="20"/>
          <w:lang w:val="en-US"/>
        </w:rPr>
        <w:t xml:space="preserve">. 56 – </w:t>
      </w:r>
      <w:r>
        <w:rPr>
          <w:rFonts w:ascii="Times New Roman" w:hAnsi="Times New Roman" w:cs="Times New Roman"/>
          <w:sz w:val="20"/>
          <w:szCs w:val="20"/>
          <w:lang w:val="en-US"/>
        </w:rPr>
        <w:t>Commission</w:t>
      </w:r>
      <w:r w:rsidRPr="00CF4BAA">
        <w:rPr>
          <w:rFonts w:ascii="Times New Roman" w:hAnsi="Times New Roman" w:cs="Times New Roman"/>
          <w:sz w:val="20"/>
          <w:szCs w:val="20"/>
          <w:lang w:val="en-US"/>
        </w:rPr>
        <w:t>/Ital</w:t>
      </w:r>
      <w:r>
        <w:rPr>
          <w:rFonts w:ascii="Times New Roman" w:hAnsi="Times New Roman" w:cs="Times New Roman"/>
          <w:sz w:val="20"/>
          <w:szCs w:val="20"/>
          <w:lang w:val="en-US"/>
        </w:rPr>
        <w:t>y</w:t>
      </w:r>
      <w:r w:rsidRPr="00CF4BAA">
        <w:rPr>
          <w:rFonts w:ascii="Times New Roman" w:hAnsi="Times New Roman" w:cs="Times New Roman"/>
          <w:sz w:val="20"/>
          <w:szCs w:val="20"/>
          <w:lang w:val="en-US"/>
        </w:rPr>
        <w:t xml:space="preserve"> </w:t>
      </w:r>
      <w:r>
        <w:rPr>
          <w:rFonts w:ascii="Times New Roman" w:hAnsi="Times New Roman" w:cs="Times New Roman"/>
          <w:sz w:val="20"/>
          <w:szCs w:val="20"/>
          <w:lang w:val="en-US"/>
        </w:rPr>
        <w:t>and</w:t>
      </w:r>
      <w:r w:rsidRPr="00CF4BAA">
        <w:rPr>
          <w:rFonts w:ascii="Times New Roman" w:hAnsi="Times New Roman" w:cs="Times New Roman"/>
          <w:sz w:val="20"/>
          <w:szCs w:val="20"/>
          <w:lang w:val="en-US"/>
        </w:rPr>
        <w:t xml:space="preserve"> </w:t>
      </w:r>
      <w:proofErr w:type="spellStart"/>
      <w:r w:rsidRPr="00CF4BAA">
        <w:rPr>
          <w:rFonts w:ascii="Times New Roman" w:hAnsi="Times New Roman" w:cs="Times New Roman"/>
          <w:sz w:val="20"/>
          <w:szCs w:val="20"/>
          <w:lang w:val="en-US"/>
        </w:rPr>
        <w:t>Wam</w:t>
      </w:r>
      <w:proofErr w:type="spellEnd"/>
      <w:r w:rsidRPr="00CF4BAA">
        <w:rPr>
          <w:rFonts w:ascii="Times New Roman" w:hAnsi="Times New Roman" w:cs="Times New Roman"/>
          <w:sz w:val="20"/>
          <w:szCs w:val="20"/>
          <w:lang w:val="en-US"/>
        </w:rPr>
        <w:t xml:space="preserve">; </w:t>
      </w:r>
      <w:proofErr w:type="spellStart"/>
      <w:r w:rsidRPr="00CF4BAA">
        <w:rPr>
          <w:rFonts w:ascii="Times New Roman" w:hAnsi="Times New Roman" w:cs="Times New Roman"/>
          <w:i/>
          <w:sz w:val="20"/>
          <w:szCs w:val="20"/>
          <w:lang w:val="en-US"/>
        </w:rPr>
        <w:t>Bartosch</w:t>
      </w:r>
      <w:proofErr w:type="spellEnd"/>
      <w:r w:rsidRPr="00CF4BAA">
        <w:rPr>
          <w:rFonts w:ascii="Times New Roman" w:hAnsi="Times New Roman" w:cs="Times New Roman"/>
          <w:sz w:val="20"/>
          <w:szCs w:val="20"/>
          <w:lang w:val="en-US"/>
        </w:rPr>
        <w:t>, EU-</w:t>
      </w:r>
      <w:proofErr w:type="spellStart"/>
      <w:r w:rsidRPr="00CF4BAA">
        <w:rPr>
          <w:rFonts w:ascii="Times New Roman" w:hAnsi="Times New Roman" w:cs="Times New Roman"/>
          <w:sz w:val="20"/>
          <w:szCs w:val="20"/>
          <w:lang w:val="en-US"/>
        </w:rPr>
        <w:t>Beihilfenrecht</w:t>
      </w:r>
      <w:proofErr w:type="spellEnd"/>
      <w:r w:rsidRPr="00CF4BAA">
        <w:rPr>
          <w:rFonts w:ascii="Times New Roman" w:hAnsi="Times New Roman" w:cs="Times New Roman"/>
          <w:sz w:val="20"/>
          <w:szCs w:val="20"/>
          <w:lang w:val="en-US"/>
        </w:rPr>
        <w:t>, 2</w:t>
      </w:r>
      <w:r w:rsidRPr="00CF4BAA">
        <w:rPr>
          <w:rFonts w:ascii="Times New Roman" w:hAnsi="Times New Roman" w:cs="Times New Roman"/>
          <w:sz w:val="20"/>
          <w:szCs w:val="20"/>
          <w:vertAlign w:val="superscript"/>
          <w:lang w:val="en-US"/>
        </w:rPr>
        <w:t>nd</w:t>
      </w:r>
      <w:r w:rsidRPr="00CF4BAA">
        <w:rPr>
          <w:rFonts w:ascii="Times New Roman" w:hAnsi="Times New Roman" w:cs="Times New Roman"/>
          <w:sz w:val="20"/>
          <w:szCs w:val="20"/>
          <w:lang w:val="en-US"/>
        </w:rPr>
        <w:t xml:space="preserve"> </w:t>
      </w:r>
      <w:r>
        <w:rPr>
          <w:rFonts w:ascii="Times New Roman" w:hAnsi="Times New Roman" w:cs="Times New Roman"/>
          <w:sz w:val="20"/>
          <w:szCs w:val="20"/>
          <w:lang w:val="en-US"/>
        </w:rPr>
        <w:t>ed</w:t>
      </w:r>
      <w:r w:rsidRPr="00CF4BAA">
        <w:rPr>
          <w:rFonts w:ascii="Times New Roman" w:hAnsi="Times New Roman" w:cs="Times New Roman"/>
          <w:sz w:val="20"/>
          <w:szCs w:val="20"/>
          <w:lang w:val="en-US"/>
        </w:rPr>
        <w:t xml:space="preserve">. 2016, </w:t>
      </w:r>
      <w:r>
        <w:rPr>
          <w:rFonts w:ascii="Times New Roman" w:hAnsi="Times New Roman" w:cs="Times New Roman"/>
          <w:sz w:val="20"/>
          <w:szCs w:val="20"/>
          <w:lang w:val="en-US"/>
        </w:rPr>
        <w:t>Sect.</w:t>
      </w:r>
      <w:r w:rsidRPr="00CF4BAA">
        <w:rPr>
          <w:rFonts w:ascii="Times New Roman" w:hAnsi="Times New Roman" w:cs="Times New Roman"/>
          <w:sz w:val="20"/>
          <w:szCs w:val="20"/>
          <w:lang w:val="en-US"/>
        </w:rPr>
        <w:t xml:space="preserve"> A. </w:t>
      </w:r>
      <w:r>
        <w:rPr>
          <w:rFonts w:ascii="Times New Roman" w:hAnsi="Times New Roman" w:cs="Times New Roman"/>
          <w:sz w:val="20"/>
          <w:szCs w:val="20"/>
          <w:lang w:val="en-US"/>
        </w:rPr>
        <w:t>no</w:t>
      </w:r>
      <w:r w:rsidRPr="00CF4BAA">
        <w:rPr>
          <w:rFonts w:ascii="Times New Roman" w:hAnsi="Times New Roman" w:cs="Times New Roman"/>
          <w:sz w:val="20"/>
          <w:szCs w:val="20"/>
          <w:lang w:val="en-US"/>
        </w:rPr>
        <w:t xml:space="preserve">. 38; </w:t>
      </w:r>
      <w:r>
        <w:rPr>
          <w:rFonts w:ascii="Times New Roman" w:hAnsi="Times New Roman" w:cs="Times New Roman"/>
          <w:sz w:val="20"/>
          <w:szCs w:val="20"/>
          <w:lang w:val="en-US"/>
        </w:rPr>
        <w:t>in detail</w:t>
      </w:r>
      <w:r w:rsidRPr="00CF4BAA">
        <w:rPr>
          <w:rFonts w:ascii="Times New Roman" w:hAnsi="Times New Roman" w:cs="Times New Roman"/>
          <w:sz w:val="20"/>
          <w:szCs w:val="20"/>
          <w:lang w:val="en-US"/>
        </w:rPr>
        <w:t xml:space="preserve"> </w:t>
      </w:r>
      <w:proofErr w:type="spellStart"/>
      <w:r w:rsidRPr="00CF4BAA">
        <w:rPr>
          <w:rFonts w:ascii="Times New Roman" w:hAnsi="Times New Roman" w:cs="Times New Roman"/>
          <w:i/>
          <w:sz w:val="20"/>
          <w:szCs w:val="20"/>
          <w:lang w:val="en-US"/>
        </w:rPr>
        <w:t>Kliemann</w:t>
      </w:r>
      <w:proofErr w:type="spellEnd"/>
      <w:r w:rsidRPr="00AF6052">
        <w:rPr>
          <w:rFonts w:ascii="Times New Roman" w:hAnsi="Times New Roman" w:cs="Times New Roman"/>
          <w:sz w:val="20"/>
          <w:szCs w:val="20"/>
          <w:lang w:val="en-US"/>
        </w:rPr>
        <w:t>,</w:t>
      </w:r>
      <w:r w:rsidRPr="00CF4BAA">
        <w:rPr>
          <w:rFonts w:ascii="Times New Roman" w:hAnsi="Times New Roman" w:cs="Times New Roman"/>
          <w:sz w:val="20"/>
          <w:szCs w:val="20"/>
          <w:lang w:val="en-US"/>
        </w:rPr>
        <w:t xml:space="preserve"> in </w:t>
      </w:r>
      <w:r>
        <w:rPr>
          <w:rFonts w:ascii="Times New Roman" w:hAnsi="Times New Roman" w:cs="Times New Roman"/>
          <w:sz w:val="20"/>
          <w:szCs w:val="20"/>
          <w:lang w:val="en-US"/>
        </w:rPr>
        <w:t>V</w:t>
      </w:r>
      <w:r w:rsidRPr="00CF4BAA">
        <w:rPr>
          <w:rFonts w:ascii="Times New Roman" w:hAnsi="Times New Roman" w:cs="Times New Roman"/>
          <w:sz w:val="20"/>
          <w:szCs w:val="20"/>
          <w:lang w:val="en-US"/>
        </w:rPr>
        <w:t xml:space="preserve">on der </w:t>
      </w:r>
      <w:proofErr w:type="spellStart"/>
      <w:r w:rsidRPr="00CF4BAA">
        <w:rPr>
          <w:rFonts w:ascii="Times New Roman" w:hAnsi="Times New Roman" w:cs="Times New Roman"/>
          <w:sz w:val="20"/>
          <w:szCs w:val="20"/>
          <w:lang w:val="en-US"/>
        </w:rPr>
        <w:t>Groeben</w:t>
      </w:r>
      <w:proofErr w:type="spellEnd"/>
      <w:r w:rsidRPr="00CF4BAA">
        <w:rPr>
          <w:rFonts w:ascii="Times New Roman" w:hAnsi="Times New Roman" w:cs="Times New Roman"/>
          <w:sz w:val="20"/>
          <w:szCs w:val="20"/>
          <w:lang w:val="en-US"/>
        </w:rPr>
        <w:t>/</w:t>
      </w:r>
      <w:proofErr w:type="spellStart"/>
      <w:r w:rsidRPr="00CF4BAA">
        <w:rPr>
          <w:rFonts w:ascii="Times New Roman" w:hAnsi="Times New Roman" w:cs="Times New Roman"/>
          <w:sz w:val="20"/>
          <w:szCs w:val="20"/>
          <w:lang w:val="en-US"/>
        </w:rPr>
        <w:t>Schwarze</w:t>
      </w:r>
      <w:proofErr w:type="spellEnd"/>
      <w:r w:rsidRPr="00CF4BAA">
        <w:rPr>
          <w:rFonts w:ascii="Times New Roman" w:hAnsi="Times New Roman" w:cs="Times New Roman"/>
          <w:sz w:val="20"/>
          <w:szCs w:val="20"/>
          <w:lang w:val="en-US"/>
        </w:rPr>
        <w:t>/</w:t>
      </w:r>
      <w:proofErr w:type="spellStart"/>
      <w:r w:rsidRPr="00CF4BAA">
        <w:rPr>
          <w:rFonts w:ascii="Times New Roman" w:hAnsi="Times New Roman" w:cs="Times New Roman"/>
          <w:sz w:val="20"/>
          <w:szCs w:val="20"/>
          <w:lang w:val="en-US"/>
        </w:rPr>
        <w:t>Hatje</w:t>
      </w:r>
      <w:proofErr w:type="spellEnd"/>
      <w:r w:rsidRPr="00CF4BAA">
        <w:rPr>
          <w:rFonts w:ascii="Times New Roman" w:hAnsi="Times New Roman" w:cs="Times New Roman"/>
          <w:sz w:val="20"/>
          <w:szCs w:val="20"/>
          <w:lang w:val="en-US"/>
        </w:rPr>
        <w:t xml:space="preserve">, </w:t>
      </w:r>
      <w:proofErr w:type="spellStart"/>
      <w:r w:rsidRPr="00CF4BAA">
        <w:rPr>
          <w:rFonts w:ascii="Times New Roman" w:hAnsi="Times New Roman" w:cs="Times New Roman"/>
          <w:sz w:val="20"/>
          <w:szCs w:val="20"/>
          <w:lang w:val="en-US"/>
        </w:rPr>
        <w:t>Europäi</w:t>
      </w:r>
      <w:r>
        <w:rPr>
          <w:rFonts w:ascii="Times New Roman" w:hAnsi="Times New Roman" w:cs="Times New Roman"/>
          <w:sz w:val="20"/>
          <w:szCs w:val="20"/>
          <w:lang w:val="en-US"/>
        </w:rPr>
        <w:t>s</w:t>
      </w:r>
      <w:r w:rsidRPr="00CF4BAA">
        <w:rPr>
          <w:rFonts w:ascii="Times New Roman" w:hAnsi="Times New Roman" w:cs="Times New Roman"/>
          <w:sz w:val="20"/>
          <w:szCs w:val="20"/>
          <w:lang w:val="en-US"/>
        </w:rPr>
        <w:t>ches</w:t>
      </w:r>
      <w:proofErr w:type="spellEnd"/>
      <w:r w:rsidRPr="00CF4BAA">
        <w:rPr>
          <w:rFonts w:ascii="Times New Roman" w:hAnsi="Times New Roman" w:cs="Times New Roman"/>
          <w:sz w:val="20"/>
          <w:szCs w:val="20"/>
          <w:lang w:val="en-US"/>
        </w:rPr>
        <w:t xml:space="preserve"> </w:t>
      </w:r>
      <w:proofErr w:type="spellStart"/>
      <w:r w:rsidRPr="00CF4BAA">
        <w:rPr>
          <w:rFonts w:ascii="Times New Roman" w:hAnsi="Times New Roman" w:cs="Times New Roman"/>
          <w:sz w:val="20"/>
          <w:szCs w:val="20"/>
          <w:lang w:val="en-US"/>
        </w:rPr>
        <w:t>Unionsrecht</w:t>
      </w:r>
      <w:proofErr w:type="spellEnd"/>
      <w:r w:rsidRPr="00CF4BAA">
        <w:rPr>
          <w:rFonts w:ascii="Times New Roman" w:hAnsi="Times New Roman" w:cs="Times New Roman"/>
          <w:sz w:val="20"/>
          <w:szCs w:val="20"/>
          <w:lang w:val="en-US"/>
        </w:rPr>
        <w:t>, 7</w:t>
      </w:r>
      <w:r w:rsidRPr="00CF4BAA">
        <w:rPr>
          <w:rFonts w:ascii="Times New Roman" w:hAnsi="Times New Roman" w:cs="Times New Roman"/>
          <w:sz w:val="20"/>
          <w:szCs w:val="20"/>
          <w:vertAlign w:val="superscript"/>
          <w:lang w:val="en-US"/>
        </w:rPr>
        <w:t>th</w:t>
      </w:r>
      <w:r>
        <w:rPr>
          <w:rFonts w:ascii="Times New Roman" w:hAnsi="Times New Roman" w:cs="Times New Roman"/>
          <w:sz w:val="20"/>
          <w:szCs w:val="20"/>
          <w:lang w:val="en-US"/>
        </w:rPr>
        <w:t xml:space="preserve"> ed</w:t>
      </w:r>
      <w:r w:rsidRPr="00CF4BAA">
        <w:rPr>
          <w:rFonts w:ascii="Times New Roman" w:hAnsi="Times New Roman" w:cs="Times New Roman"/>
          <w:sz w:val="20"/>
          <w:szCs w:val="20"/>
          <w:lang w:val="en-US"/>
        </w:rPr>
        <w:t xml:space="preserve">. 2015, </w:t>
      </w:r>
      <w:r>
        <w:rPr>
          <w:rFonts w:ascii="Times New Roman" w:hAnsi="Times New Roman" w:cs="Times New Roman"/>
          <w:sz w:val="20"/>
          <w:szCs w:val="20"/>
          <w:lang w:val="en-US"/>
        </w:rPr>
        <w:t>TFEU</w:t>
      </w:r>
      <w:r w:rsidRPr="00CF4BAA">
        <w:rPr>
          <w:rFonts w:ascii="Times New Roman" w:hAnsi="Times New Roman" w:cs="Times New Roman"/>
          <w:sz w:val="20"/>
          <w:szCs w:val="20"/>
          <w:lang w:val="en-US"/>
        </w:rPr>
        <w:t xml:space="preserve"> Art. </w:t>
      </w:r>
      <w:proofErr w:type="gramStart"/>
      <w:r w:rsidRPr="00CF4BAA">
        <w:rPr>
          <w:rFonts w:ascii="Times New Roman" w:hAnsi="Times New Roman" w:cs="Times New Roman"/>
          <w:sz w:val="20"/>
          <w:szCs w:val="20"/>
          <w:lang w:val="en-US"/>
        </w:rPr>
        <w:t xml:space="preserve">107 </w:t>
      </w:r>
      <w:r>
        <w:rPr>
          <w:rFonts w:ascii="Times New Roman" w:hAnsi="Times New Roman" w:cs="Times New Roman"/>
          <w:sz w:val="20"/>
          <w:szCs w:val="20"/>
          <w:lang w:val="en-US"/>
        </w:rPr>
        <w:t>nos</w:t>
      </w:r>
      <w:r w:rsidRPr="00CF4BAA">
        <w:rPr>
          <w:rFonts w:ascii="Times New Roman" w:hAnsi="Times New Roman" w:cs="Times New Roman"/>
          <w:sz w:val="20"/>
          <w:szCs w:val="20"/>
          <w:lang w:val="en-US"/>
        </w:rPr>
        <w:t xml:space="preserve">. 185 </w:t>
      </w:r>
      <w:r>
        <w:rPr>
          <w:rFonts w:ascii="Times New Roman" w:hAnsi="Times New Roman" w:cs="Times New Roman"/>
          <w:sz w:val="20"/>
          <w:szCs w:val="20"/>
          <w:lang w:val="en-US"/>
        </w:rPr>
        <w:t>et seq</w:t>
      </w:r>
      <w:r w:rsidRPr="00CF4BAA">
        <w:rPr>
          <w:rFonts w:ascii="Times New Roman" w:hAnsi="Times New Roman" w:cs="Times New Roman"/>
          <w:sz w:val="20"/>
          <w:szCs w:val="20"/>
          <w:lang w:val="en-US"/>
        </w:rPr>
        <w:t>.</w:t>
      </w:r>
      <w:proofErr w:type="gramEnd"/>
      <w:r w:rsidRPr="00CF4BAA">
        <w:rPr>
          <w:rFonts w:ascii="Times New Roman" w:hAnsi="Times New Roman" w:cs="Times New Roman"/>
          <w:sz w:val="20"/>
          <w:szCs w:val="20"/>
          <w:lang w:val="en-US"/>
        </w:rPr>
        <w:t xml:space="preserve"> </w:t>
      </w:r>
    </w:p>
  </w:footnote>
  <w:footnote w:id="25">
    <w:p w14:paraId="347B4876" w14:textId="03F3CD40" w:rsidR="00D13078" w:rsidRPr="007B0513" w:rsidRDefault="00D13078" w:rsidP="007B0513">
      <w:pPr>
        <w:pStyle w:val="Funotentext"/>
        <w:jc w:val="both"/>
        <w:rPr>
          <w:lang w:val="en-US"/>
        </w:rPr>
      </w:pPr>
      <w:r w:rsidRPr="00364AD9">
        <w:rPr>
          <w:rStyle w:val="Funotenzeichen"/>
          <w:rFonts w:ascii="Times New Roman" w:hAnsi="Times New Roman" w:cs="Times New Roman"/>
          <w:sz w:val="20"/>
          <w:szCs w:val="20"/>
        </w:rPr>
        <w:footnoteRef/>
      </w:r>
      <w:r w:rsidRPr="00364AD9">
        <w:rPr>
          <w:rFonts w:ascii="Times New Roman" w:hAnsi="Times New Roman" w:cs="Times New Roman"/>
          <w:sz w:val="20"/>
          <w:szCs w:val="20"/>
        </w:rPr>
        <w:t xml:space="preserve"> </w:t>
      </w:r>
      <w:r w:rsidRPr="00364AD9">
        <w:rPr>
          <w:rFonts w:ascii="Times New Roman" w:hAnsi="Times New Roman" w:cs="Times New Roman"/>
          <w:i/>
          <w:sz w:val="20"/>
          <w:szCs w:val="20"/>
        </w:rPr>
        <w:t>Ludwigs</w:t>
      </w:r>
      <w:r w:rsidRPr="00AF6052">
        <w:rPr>
          <w:rFonts w:ascii="Times New Roman" w:hAnsi="Times New Roman" w:cs="Times New Roman"/>
          <w:sz w:val="20"/>
          <w:szCs w:val="20"/>
        </w:rPr>
        <w:t>,</w:t>
      </w:r>
      <w:r w:rsidRPr="00364AD9">
        <w:rPr>
          <w:rFonts w:ascii="Times New Roman" w:hAnsi="Times New Roman" w:cs="Times New Roman"/>
          <w:i/>
          <w:sz w:val="20"/>
          <w:szCs w:val="20"/>
        </w:rPr>
        <w:t xml:space="preserve"> </w:t>
      </w:r>
      <w:r w:rsidRPr="00364AD9">
        <w:rPr>
          <w:rFonts w:ascii="Times New Roman" w:hAnsi="Times New Roman" w:cs="Times New Roman"/>
          <w:sz w:val="20"/>
          <w:szCs w:val="20"/>
        </w:rPr>
        <w:t xml:space="preserve">in </w:t>
      </w:r>
      <w:proofErr w:type="spellStart"/>
      <w:r w:rsidRPr="00532509">
        <w:rPr>
          <w:rFonts w:ascii="Times New Roman" w:hAnsi="Times New Roman" w:cs="Times New Roman"/>
          <w:sz w:val="20"/>
          <w:szCs w:val="20"/>
          <w:lang w:val="en-US"/>
        </w:rPr>
        <w:t>Mü</w:t>
      </w:r>
      <w:r>
        <w:rPr>
          <w:rFonts w:ascii="Times New Roman" w:hAnsi="Times New Roman" w:cs="Times New Roman"/>
          <w:sz w:val="20"/>
          <w:szCs w:val="20"/>
          <w:lang w:val="en-US"/>
        </w:rPr>
        <w:t>nchener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Kommentar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zum</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Kartellrecht</w:t>
      </w:r>
      <w:proofErr w:type="spellEnd"/>
      <w:r>
        <w:rPr>
          <w:rFonts w:ascii="Times New Roman" w:hAnsi="Times New Roman" w:cs="Times New Roman"/>
          <w:sz w:val="20"/>
          <w:szCs w:val="20"/>
          <w:lang w:val="en-US"/>
        </w:rPr>
        <w:t>,</w:t>
      </w:r>
      <w:r w:rsidRPr="00532509">
        <w:rPr>
          <w:rFonts w:ascii="Times New Roman" w:hAnsi="Times New Roman" w:cs="Times New Roman"/>
          <w:sz w:val="20"/>
          <w:szCs w:val="20"/>
          <w:lang w:val="en-US"/>
        </w:rPr>
        <w:t xml:space="preserve"> </w:t>
      </w:r>
      <w:r>
        <w:rPr>
          <w:rFonts w:ascii="Times New Roman" w:hAnsi="Times New Roman" w:cs="Times New Roman"/>
          <w:sz w:val="20"/>
          <w:szCs w:val="20"/>
          <w:lang w:val="en-US"/>
        </w:rPr>
        <w:t>vol</w:t>
      </w:r>
      <w:r w:rsidRPr="00532509">
        <w:rPr>
          <w:rFonts w:ascii="Times New Roman" w:hAnsi="Times New Roman" w:cs="Times New Roman"/>
          <w:sz w:val="20"/>
          <w:szCs w:val="20"/>
          <w:lang w:val="en-US"/>
        </w:rPr>
        <w:t>. </w:t>
      </w:r>
      <w:proofErr w:type="gramStart"/>
      <w:r w:rsidRPr="00532509">
        <w:rPr>
          <w:rFonts w:ascii="Times New Roman" w:hAnsi="Times New Roman" w:cs="Times New Roman"/>
          <w:sz w:val="20"/>
          <w:szCs w:val="20"/>
          <w:lang w:val="en-US"/>
        </w:rPr>
        <w:t xml:space="preserve">5, </w:t>
      </w:r>
      <w:r w:rsidRPr="007B0513">
        <w:rPr>
          <w:rFonts w:ascii="Times New Roman" w:hAnsi="Times New Roman" w:cs="Times New Roman"/>
          <w:sz w:val="20"/>
          <w:szCs w:val="20"/>
          <w:lang w:val="en-US"/>
        </w:rPr>
        <w:t>2</w:t>
      </w:r>
      <w:r w:rsidRPr="007B0513">
        <w:rPr>
          <w:rFonts w:ascii="Times New Roman" w:hAnsi="Times New Roman" w:cs="Times New Roman"/>
          <w:sz w:val="20"/>
          <w:szCs w:val="20"/>
          <w:vertAlign w:val="superscript"/>
          <w:lang w:val="en-US"/>
        </w:rPr>
        <w:t>nd</w:t>
      </w:r>
      <w:r w:rsidRPr="007B0513">
        <w:rPr>
          <w:rFonts w:ascii="Times New Roman" w:hAnsi="Times New Roman" w:cs="Times New Roman"/>
          <w:sz w:val="20"/>
          <w:szCs w:val="20"/>
          <w:lang w:val="en-US"/>
        </w:rPr>
        <w:t xml:space="preserve"> ed. 2018, TFEU Art.</w:t>
      </w:r>
      <w:proofErr w:type="gramEnd"/>
      <w:r w:rsidRPr="007B0513">
        <w:rPr>
          <w:rFonts w:ascii="Times New Roman" w:hAnsi="Times New Roman" w:cs="Times New Roman"/>
          <w:sz w:val="20"/>
          <w:szCs w:val="20"/>
          <w:lang w:val="en-US"/>
        </w:rPr>
        <w:t xml:space="preserve"> 107 no. 6; </w:t>
      </w:r>
      <w:proofErr w:type="spellStart"/>
      <w:r w:rsidRPr="007B0513">
        <w:rPr>
          <w:rFonts w:ascii="Times New Roman" w:hAnsi="Times New Roman" w:cs="Times New Roman"/>
          <w:i/>
          <w:sz w:val="20"/>
          <w:szCs w:val="20"/>
          <w:lang w:val="en-US"/>
        </w:rPr>
        <w:t>Mederer</w:t>
      </w:r>
      <w:proofErr w:type="spellEnd"/>
      <w:r w:rsidRPr="00AF6052">
        <w:rPr>
          <w:rFonts w:ascii="Times New Roman" w:hAnsi="Times New Roman" w:cs="Times New Roman"/>
          <w:sz w:val="20"/>
          <w:szCs w:val="20"/>
          <w:lang w:val="en-US"/>
        </w:rPr>
        <w:t>,</w:t>
      </w:r>
      <w:r w:rsidRPr="007B0513">
        <w:rPr>
          <w:rFonts w:ascii="Times New Roman" w:hAnsi="Times New Roman" w:cs="Times New Roman"/>
          <w:sz w:val="20"/>
          <w:szCs w:val="20"/>
          <w:lang w:val="en-US"/>
        </w:rPr>
        <w:t xml:space="preserve"> in Von der </w:t>
      </w:r>
      <w:proofErr w:type="spellStart"/>
      <w:r w:rsidRPr="007B0513">
        <w:rPr>
          <w:rFonts w:ascii="Times New Roman" w:hAnsi="Times New Roman" w:cs="Times New Roman"/>
          <w:sz w:val="20"/>
          <w:szCs w:val="20"/>
          <w:lang w:val="en-US"/>
        </w:rPr>
        <w:t>Groeben</w:t>
      </w:r>
      <w:proofErr w:type="spellEnd"/>
      <w:r w:rsidRPr="007B0513">
        <w:rPr>
          <w:rFonts w:ascii="Times New Roman" w:hAnsi="Times New Roman" w:cs="Times New Roman"/>
          <w:sz w:val="20"/>
          <w:szCs w:val="20"/>
          <w:lang w:val="en-US"/>
        </w:rPr>
        <w:t>/</w:t>
      </w:r>
      <w:proofErr w:type="spellStart"/>
      <w:r w:rsidRPr="007B0513">
        <w:rPr>
          <w:rFonts w:ascii="Times New Roman" w:hAnsi="Times New Roman" w:cs="Times New Roman"/>
          <w:sz w:val="20"/>
          <w:szCs w:val="20"/>
          <w:lang w:val="en-US"/>
        </w:rPr>
        <w:t>Schwarze</w:t>
      </w:r>
      <w:proofErr w:type="spellEnd"/>
      <w:r w:rsidRPr="007B0513">
        <w:rPr>
          <w:rFonts w:ascii="Times New Roman" w:hAnsi="Times New Roman" w:cs="Times New Roman"/>
          <w:sz w:val="20"/>
          <w:szCs w:val="20"/>
          <w:lang w:val="en-US"/>
        </w:rPr>
        <w:t>/</w:t>
      </w:r>
      <w:proofErr w:type="spellStart"/>
      <w:r w:rsidRPr="007B0513">
        <w:rPr>
          <w:rFonts w:ascii="Times New Roman" w:hAnsi="Times New Roman" w:cs="Times New Roman"/>
          <w:sz w:val="20"/>
          <w:szCs w:val="20"/>
          <w:lang w:val="en-US"/>
        </w:rPr>
        <w:t>Hatje</w:t>
      </w:r>
      <w:proofErr w:type="spellEnd"/>
      <w:r w:rsidRPr="007B0513">
        <w:rPr>
          <w:rFonts w:ascii="Times New Roman" w:hAnsi="Times New Roman" w:cs="Times New Roman"/>
          <w:sz w:val="20"/>
          <w:szCs w:val="20"/>
          <w:lang w:val="en-US"/>
        </w:rPr>
        <w:t xml:space="preserve">, </w:t>
      </w:r>
      <w:proofErr w:type="spellStart"/>
      <w:r w:rsidRPr="007B0513">
        <w:rPr>
          <w:rFonts w:ascii="Times New Roman" w:hAnsi="Times New Roman" w:cs="Times New Roman"/>
          <w:sz w:val="20"/>
          <w:szCs w:val="20"/>
          <w:lang w:val="en-US"/>
        </w:rPr>
        <w:t>Europäisches</w:t>
      </w:r>
      <w:proofErr w:type="spellEnd"/>
      <w:r w:rsidRPr="007B0513">
        <w:rPr>
          <w:rFonts w:ascii="Times New Roman" w:hAnsi="Times New Roman" w:cs="Times New Roman"/>
          <w:sz w:val="20"/>
          <w:szCs w:val="20"/>
          <w:lang w:val="en-US"/>
        </w:rPr>
        <w:t xml:space="preserve"> </w:t>
      </w:r>
      <w:proofErr w:type="spellStart"/>
      <w:r w:rsidRPr="007B0513">
        <w:rPr>
          <w:rFonts w:ascii="Times New Roman" w:hAnsi="Times New Roman" w:cs="Times New Roman"/>
          <w:sz w:val="20"/>
          <w:szCs w:val="20"/>
          <w:lang w:val="en-US"/>
        </w:rPr>
        <w:t>Unionsrecht</w:t>
      </w:r>
      <w:proofErr w:type="spellEnd"/>
      <w:r w:rsidRPr="007B0513">
        <w:rPr>
          <w:rFonts w:ascii="Times New Roman" w:hAnsi="Times New Roman" w:cs="Times New Roman"/>
          <w:sz w:val="20"/>
          <w:szCs w:val="20"/>
          <w:lang w:val="en-US"/>
        </w:rPr>
        <w:t>, 7</w:t>
      </w:r>
      <w:r w:rsidRPr="007B0513">
        <w:rPr>
          <w:rFonts w:ascii="Times New Roman" w:hAnsi="Times New Roman" w:cs="Times New Roman"/>
          <w:sz w:val="20"/>
          <w:szCs w:val="20"/>
          <w:vertAlign w:val="superscript"/>
          <w:lang w:val="en-US"/>
        </w:rPr>
        <w:t>th</w:t>
      </w:r>
      <w:r>
        <w:rPr>
          <w:rFonts w:ascii="Times New Roman" w:hAnsi="Times New Roman" w:cs="Times New Roman"/>
          <w:sz w:val="20"/>
          <w:szCs w:val="20"/>
          <w:lang w:val="en-US"/>
        </w:rPr>
        <w:t xml:space="preserve"> ed</w:t>
      </w:r>
      <w:r w:rsidRPr="007B0513">
        <w:rPr>
          <w:rFonts w:ascii="Times New Roman" w:hAnsi="Times New Roman" w:cs="Times New Roman"/>
          <w:sz w:val="20"/>
          <w:szCs w:val="20"/>
          <w:lang w:val="en-US"/>
        </w:rPr>
        <w:t xml:space="preserve">. 2015, </w:t>
      </w:r>
      <w:r>
        <w:rPr>
          <w:rFonts w:ascii="Times New Roman" w:hAnsi="Times New Roman" w:cs="Times New Roman"/>
          <w:sz w:val="20"/>
          <w:szCs w:val="20"/>
          <w:lang w:val="en-US"/>
        </w:rPr>
        <w:t>TFEU</w:t>
      </w:r>
      <w:r w:rsidRPr="007B0513">
        <w:rPr>
          <w:rFonts w:ascii="Times New Roman" w:hAnsi="Times New Roman" w:cs="Times New Roman"/>
          <w:sz w:val="20"/>
          <w:szCs w:val="20"/>
          <w:lang w:val="en-US"/>
        </w:rPr>
        <w:t xml:space="preserve"> </w:t>
      </w:r>
      <w:r>
        <w:rPr>
          <w:rFonts w:ascii="Times New Roman" w:hAnsi="Times New Roman" w:cs="Times New Roman"/>
          <w:sz w:val="20"/>
          <w:szCs w:val="20"/>
          <w:lang w:val="en-US"/>
        </w:rPr>
        <w:t>Introduction to</w:t>
      </w:r>
      <w:r w:rsidRPr="007B0513">
        <w:rPr>
          <w:rFonts w:ascii="Times New Roman" w:hAnsi="Times New Roman" w:cs="Times New Roman"/>
          <w:sz w:val="20"/>
          <w:szCs w:val="20"/>
          <w:lang w:val="en-US"/>
        </w:rPr>
        <w:t xml:space="preserve"> Art</w:t>
      </w:r>
      <w:r>
        <w:rPr>
          <w:rFonts w:ascii="Times New Roman" w:hAnsi="Times New Roman" w:cs="Times New Roman"/>
          <w:sz w:val="20"/>
          <w:szCs w:val="20"/>
          <w:lang w:val="en-US"/>
        </w:rPr>
        <w:t>icles</w:t>
      </w:r>
      <w:r w:rsidRPr="007B0513">
        <w:rPr>
          <w:rFonts w:ascii="Times New Roman" w:hAnsi="Times New Roman" w:cs="Times New Roman"/>
          <w:sz w:val="20"/>
          <w:szCs w:val="20"/>
          <w:lang w:val="en-US"/>
        </w:rPr>
        <w:t xml:space="preserve"> 107-109 </w:t>
      </w:r>
      <w:r>
        <w:rPr>
          <w:rFonts w:ascii="Times New Roman" w:hAnsi="Times New Roman" w:cs="Times New Roman"/>
          <w:sz w:val="20"/>
          <w:szCs w:val="20"/>
          <w:lang w:val="en-US"/>
        </w:rPr>
        <w:t>no</w:t>
      </w:r>
      <w:r w:rsidRPr="007B0513">
        <w:rPr>
          <w:rFonts w:ascii="Times New Roman" w:hAnsi="Times New Roman" w:cs="Times New Roman"/>
          <w:sz w:val="20"/>
          <w:szCs w:val="20"/>
          <w:lang w:val="en-US"/>
        </w:rPr>
        <w:t>. 19.</w:t>
      </w:r>
    </w:p>
  </w:footnote>
  <w:footnote w:id="26">
    <w:p w14:paraId="0956D980" w14:textId="3B15CD2B" w:rsidR="00D13078" w:rsidRPr="00364AD9" w:rsidRDefault="00D13078" w:rsidP="00D0090F">
      <w:pPr>
        <w:pStyle w:val="Funotentext"/>
        <w:jc w:val="both"/>
        <w:rPr>
          <w:rFonts w:ascii="Times New Roman" w:hAnsi="Times New Roman" w:cs="Times New Roman"/>
          <w:sz w:val="20"/>
          <w:szCs w:val="20"/>
        </w:rPr>
      </w:pPr>
      <w:r w:rsidRPr="00364AD9">
        <w:rPr>
          <w:rStyle w:val="Funotenzeichen"/>
          <w:rFonts w:ascii="Times New Roman" w:hAnsi="Times New Roman" w:cs="Times New Roman"/>
          <w:sz w:val="20"/>
          <w:szCs w:val="20"/>
        </w:rPr>
        <w:footnoteRef/>
      </w:r>
      <w:r w:rsidRPr="00364AD9">
        <w:rPr>
          <w:rFonts w:ascii="Times New Roman" w:hAnsi="Times New Roman" w:cs="Times New Roman"/>
          <w:sz w:val="20"/>
          <w:szCs w:val="20"/>
        </w:rPr>
        <w:t xml:space="preserve"> </w:t>
      </w:r>
      <w:r w:rsidRPr="00364AD9">
        <w:rPr>
          <w:rFonts w:ascii="Times New Roman" w:hAnsi="Times New Roman" w:cs="Times New Roman"/>
          <w:i/>
          <w:sz w:val="20"/>
          <w:szCs w:val="20"/>
        </w:rPr>
        <w:t>Ludwigs</w:t>
      </w:r>
      <w:r w:rsidRPr="00AF6052">
        <w:rPr>
          <w:rFonts w:ascii="Times New Roman" w:hAnsi="Times New Roman" w:cs="Times New Roman"/>
          <w:sz w:val="20"/>
          <w:szCs w:val="20"/>
        </w:rPr>
        <w:t>,</w:t>
      </w:r>
      <w:r w:rsidRPr="00364AD9">
        <w:rPr>
          <w:rFonts w:ascii="Times New Roman" w:hAnsi="Times New Roman" w:cs="Times New Roman"/>
          <w:i/>
          <w:sz w:val="20"/>
          <w:szCs w:val="20"/>
        </w:rPr>
        <w:t xml:space="preserve"> </w:t>
      </w:r>
      <w:proofErr w:type="spellStart"/>
      <w:r w:rsidRPr="00532509">
        <w:rPr>
          <w:rFonts w:ascii="Times New Roman" w:hAnsi="Times New Roman" w:cs="Times New Roman"/>
          <w:sz w:val="20"/>
          <w:szCs w:val="20"/>
          <w:lang w:val="en-US"/>
        </w:rPr>
        <w:t>Mü</w:t>
      </w:r>
      <w:r>
        <w:rPr>
          <w:rFonts w:ascii="Times New Roman" w:hAnsi="Times New Roman" w:cs="Times New Roman"/>
          <w:sz w:val="20"/>
          <w:szCs w:val="20"/>
          <w:lang w:val="en-US"/>
        </w:rPr>
        <w:t>nchener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Kommentar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zum</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Kartellrecht</w:t>
      </w:r>
      <w:proofErr w:type="spellEnd"/>
      <w:r>
        <w:rPr>
          <w:rFonts w:ascii="Times New Roman" w:hAnsi="Times New Roman" w:cs="Times New Roman"/>
          <w:sz w:val="20"/>
          <w:szCs w:val="20"/>
          <w:lang w:val="en-US"/>
        </w:rPr>
        <w:t>,</w:t>
      </w:r>
      <w:r w:rsidRPr="00532509">
        <w:rPr>
          <w:rFonts w:ascii="Times New Roman" w:hAnsi="Times New Roman" w:cs="Times New Roman"/>
          <w:sz w:val="20"/>
          <w:szCs w:val="20"/>
          <w:lang w:val="en-US"/>
        </w:rPr>
        <w:t xml:space="preserve"> </w:t>
      </w:r>
      <w:r>
        <w:rPr>
          <w:rFonts w:ascii="Times New Roman" w:hAnsi="Times New Roman" w:cs="Times New Roman"/>
          <w:sz w:val="20"/>
          <w:szCs w:val="20"/>
          <w:lang w:val="en-US"/>
        </w:rPr>
        <w:t>vol</w:t>
      </w:r>
      <w:r w:rsidRPr="00532509">
        <w:rPr>
          <w:rFonts w:ascii="Times New Roman" w:hAnsi="Times New Roman" w:cs="Times New Roman"/>
          <w:sz w:val="20"/>
          <w:szCs w:val="20"/>
          <w:lang w:val="en-US"/>
        </w:rPr>
        <w:t>. </w:t>
      </w:r>
      <w:proofErr w:type="gramStart"/>
      <w:r w:rsidRPr="00532509">
        <w:rPr>
          <w:rFonts w:ascii="Times New Roman" w:hAnsi="Times New Roman" w:cs="Times New Roman"/>
          <w:sz w:val="20"/>
          <w:szCs w:val="20"/>
          <w:lang w:val="en-US"/>
        </w:rPr>
        <w:t xml:space="preserve">5, </w:t>
      </w:r>
      <w:r w:rsidRPr="007B0513">
        <w:rPr>
          <w:rFonts w:ascii="Times New Roman" w:hAnsi="Times New Roman" w:cs="Times New Roman"/>
          <w:sz w:val="20"/>
          <w:szCs w:val="20"/>
          <w:lang w:val="en-US"/>
        </w:rPr>
        <w:t>2</w:t>
      </w:r>
      <w:r w:rsidRPr="007B0513">
        <w:rPr>
          <w:rFonts w:ascii="Times New Roman" w:hAnsi="Times New Roman" w:cs="Times New Roman"/>
          <w:sz w:val="20"/>
          <w:szCs w:val="20"/>
          <w:vertAlign w:val="superscript"/>
          <w:lang w:val="en-US"/>
        </w:rPr>
        <w:t>nd</w:t>
      </w:r>
      <w:r w:rsidRPr="007B0513">
        <w:rPr>
          <w:rFonts w:ascii="Times New Roman" w:hAnsi="Times New Roman" w:cs="Times New Roman"/>
          <w:sz w:val="20"/>
          <w:szCs w:val="20"/>
          <w:lang w:val="en-US"/>
        </w:rPr>
        <w:t xml:space="preserve"> ed. 2018, TFEU Art.</w:t>
      </w:r>
      <w:proofErr w:type="gramEnd"/>
      <w:r w:rsidRPr="007B0513">
        <w:rPr>
          <w:rFonts w:ascii="Times New Roman" w:hAnsi="Times New Roman" w:cs="Times New Roman"/>
          <w:sz w:val="20"/>
          <w:szCs w:val="20"/>
          <w:lang w:val="en-US"/>
        </w:rPr>
        <w:t xml:space="preserve"> </w:t>
      </w:r>
      <w:proofErr w:type="gramStart"/>
      <w:r w:rsidRPr="007B0513">
        <w:rPr>
          <w:rFonts w:ascii="Times New Roman" w:hAnsi="Times New Roman" w:cs="Times New Roman"/>
          <w:sz w:val="20"/>
          <w:szCs w:val="20"/>
          <w:lang w:val="en-US"/>
        </w:rPr>
        <w:t>107 no. 6</w:t>
      </w:r>
      <w:r w:rsidRPr="00364AD9">
        <w:rPr>
          <w:rFonts w:ascii="Times New Roman" w:hAnsi="Times New Roman" w:cs="Times New Roman"/>
          <w:sz w:val="20"/>
          <w:szCs w:val="20"/>
        </w:rPr>
        <w:t>.</w:t>
      </w:r>
      <w:proofErr w:type="gramEnd"/>
    </w:p>
  </w:footnote>
  <w:footnote w:id="27">
    <w:p w14:paraId="50EA0A41" w14:textId="53BDF504" w:rsidR="00D13078" w:rsidRPr="00E66CF8" w:rsidRDefault="00D13078" w:rsidP="00B524C0">
      <w:pPr>
        <w:pStyle w:val="Funotentext"/>
        <w:jc w:val="both"/>
        <w:rPr>
          <w:rFonts w:ascii="Times New Roman" w:hAnsi="Times New Roman" w:cs="Times New Roman"/>
          <w:sz w:val="20"/>
          <w:szCs w:val="20"/>
        </w:rPr>
      </w:pPr>
      <w:r w:rsidRPr="00247C1D">
        <w:rPr>
          <w:rStyle w:val="Funotenzeichen"/>
          <w:rFonts w:ascii="Times New Roman" w:hAnsi="Times New Roman" w:cs="Times New Roman"/>
          <w:sz w:val="20"/>
          <w:szCs w:val="20"/>
        </w:rPr>
        <w:footnoteRef/>
      </w:r>
      <w:r w:rsidRPr="00247C1D">
        <w:rPr>
          <w:rFonts w:ascii="Times New Roman" w:hAnsi="Times New Roman" w:cs="Times New Roman"/>
          <w:sz w:val="20"/>
          <w:szCs w:val="20"/>
        </w:rPr>
        <w:t xml:space="preserve"> </w:t>
      </w:r>
      <w:r>
        <w:rPr>
          <w:rFonts w:ascii="Times New Roman" w:hAnsi="Times New Roman" w:cs="Times New Roman"/>
          <w:sz w:val="20"/>
          <w:szCs w:val="20"/>
        </w:rPr>
        <w:t xml:space="preserve">In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affirmative </w:t>
      </w:r>
      <w:proofErr w:type="spellStart"/>
      <w:r>
        <w:rPr>
          <w:rFonts w:ascii="Times New Roman" w:hAnsi="Times New Roman" w:cs="Times New Roman"/>
          <w:sz w:val="20"/>
          <w:szCs w:val="20"/>
        </w:rPr>
        <w:t>with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convincing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arguments</w:t>
      </w:r>
      <w:proofErr w:type="spellEnd"/>
      <w:r w:rsidRPr="00247C1D">
        <w:rPr>
          <w:rFonts w:ascii="Times New Roman" w:hAnsi="Times New Roman" w:cs="Times New Roman"/>
          <w:sz w:val="20"/>
          <w:szCs w:val="20"/>
        </w:rPr>
        <w:t xml:space="preserve"> </w:t>
      </w:r>
      <w:r w:rsidRPr="00247C1D">
        <w:rPr>
          <w:rFonts w:ascii="Times New Roman" w:hAnsi="Times New Roman" w:cs="Times New Roman"/>
          <w:i/>
          <w:sz w:val="20"/>
          <w:szCs w:val="20"/>
        </w:rPr>
        <w:t>Schroeter/</w:t>
      </w:r>
      <w:proofErr w:type="spellStart"/>
      <w:r w:rsidRPr="00E66CF8">
        <w:rPr>
          <w:rFonts w:ascii="Times New Roman" w:hAnsi="Times New Roman" w:cs="Times New Roman"/>
          <w:i/>
          <w:sz w:val="20"/>
          <w:szCs w:val="20"/>
        </w:rPr>
        <w:t>Nemeczek</w:t>
      </w:r>
      <w:proofErr w:type="spellEnd"/>
      <w:r w:rsidRPr="00AF6052">
        <w:rPr>
          <w:rFonts w:ascii="Times New Roman" w:hAnsi="Times New Roman" w:cs="Times New Roman"/>
          <w:sz w:val="20"/>
          <w:szCs w:val="20"/>
        </w:rPr>
        <w:t>,</w:t>
      </w:r>
      <w:r w:rsidRPr="00E66CF8">
        <w:rPr>
          <w:rFonts w:ascii="Times New Roman" w:hAnsi="Times New Roman" w:cs="Times New Roman"/>
          <w:sz w:val="20"/>
          <w:szCs w:val="20"/>
        </w:rPr>
        <w:t xml:space="preserve"> E</w:t>
      </w:r>
      <w:r>
        <w:rPr>
          <w:rFonts w:ascii="Times New Roman" w:hAnsi="Times New Roman" w:cs="Times New Roman"/>
          <w:sz w:val="20"/>
          <w:szCs w:val="20"/>
        </w:rPr>
        <w:t>uropean Business Law Review</w:t>
      </w:r>
      <w:r w:rsidRPr="00E66CF8">
        <w:rPr>
          <w:rFonts w:ascii="Times New Roman" w:hAnsi="Times New Roman" w:cs="Times New Roman"/>
          <w:sz w:val="20"/>
          <w:szCs w:val="20"/>
        </w:rPr>
        <w:t xml:space="preserve"> 2016, 921 (</w:t>
      </w:r>
      <w:proofErr w:type="spellStart"/>
      <w:r>
        <w:rPr>
          <w:rFonts w:ascii="Times New Roman" w:hAnsi="Times New Roman" w:cs="Times New Roman"/>
          <w:sz w:val="20"/>
          <w:szCs w:val="20"/>
        </w:rPr>
        <w:t>see</w:t>
      </w:r>
      <w:proofErr w:type="spellEnd"/>
      <w:r>
        <w:rPr>
          <w:rFonts w:ascii="Times New Roman" w:hAnsi="Times New Roman" w:cs="Times New Roman"/>
          <w:sz w:val="20"/>
          <w:szCs w:val="20"/>
        </w:rPr>
        <w:t xml:space="preserve"> p. </w:t>
      </w:r>
      <w:r w:rsidRPr="00E66CF8">
        <w:rPr>
          <w:rFonts w:ascii="Times New Roman" w:hAnsi="Times New Roman" w:cs="Times New Roman"/>
          <w:sz w:val="20"/>
          <w:szCs w:val="20"/>
        </w:rPr>
        <w:t xml:space="preserve">925 </w:t>
      </w:r>
      <w:r>
        <w:rPr>
          <w:rFonts w:ascii="Times New Roman" w:hAnsi="Times New Roman" w:cs="Times New Roman"/>
          <w:sz w:val="20"/>
          <w:szCs w:val="20"/>
        </w:rPr>
        <w:t>et seq</w:t>
      </w:r>
      <w:r w:rsidRPr="00E66CF8">
        <w:rPr>
          <w:rFonts w:ascii="Times New Roman" w:hAnsi="Times New Roman" w:cs="Times New Roman"/>
          <w:sz w:val="20"/>
          <w:szCs w:val="20"/>
        </w:rPr>
        <w:t xml:space="preserve">.); </w:t>
      </w:r>
      <w:r>
        <w:rPr>
          <w:rFonts w:ascii="Times New Roman" w:hAnsi="Times New Roman" w:cs="Times New Roman"/>
          <w:i/>
          <w:sz w:val="20"/>
          <w:szCs w:val="20"/>
        </w:rPr>
        <w:t>ibid</w:t>
      </w:r>
      <w:r w:rsidRPr="00E66CF8">
        <w:rPr>
          <w:rFonts w:ascii="Times New Roman" w:hAnsi="Times New Roman" w:cs="Times New Roman"/>
          <w:i/>
          <w:sz w:val="20"/>
          <w:szCs w:val="20"/>
        </w:rPr>
        <w:t>.</w:t>
      </w:r>
      <w:r w:rsidRPr="00E66CF8">
        <w:rPr>
          <w:rFonts w:ascii="Times New Roman" w:hAnsi="Times New Roman" w:cs="Times New Roman"/>
          <w:sz w:val="20"/>
          <w:szCs w:val="20"/>
        </w:rPr>
        <w:t>, J</w:t>
      </w:r>
      <w:r>
        <w:rPr>
          <w:rFonts w:ascii="Times New Roman" w:hAnsi="Times New Roman" w:cs="Times New Roman"/>
          <w:sz w:val="20"/>
          <w:szCs w:val="20"/>
        </w:rPr>
        <w:t>uristenzeitung</w:t>
      </w:r>
      <w:r w:rsidRPr="00E66CF8">
        <w:rPr>
          <w:rFonts w:ascii="Times New Roman" w:hAnsi="Times New Roman" w:cs="Times New Roman"/>
          <w:sz w:val="20"/>
          <w:szCs w:val="20"/>
        </w:rPr>
        <w:t xml:space="preserve"> 2017, 713 (</w:t>
      </w:r>
      <w:r>
        <w:rPr>
          <w:rFonts w:ascii="Times New Roman" w:hAnsi="Times New Roman" w:cs="Times New Roman"/>
          <w:sz w:val="20"/>
          <w:szCs w:val="20"/>
        </w:rPr>
        <w:t xml:space="preserve">p. </w:t>
      </w:r>
      <w:r w:rsidRPr="00E66CF8">
        <w:rPr>
          <w:rFonts w:ascii="Times New Roman" w:hAnsi="Times New Roman" w:cs="Times New Roman"/>
          <w:sz w:val="20"/>
          <w:szCs w:val="20"/>
        </w:rPr>
        <w:t xml:space="preserve">714 </w:t>
      </w:r>
      <w:r>
        <w:rPr>
          <w:rFonts w:ascii="Times New Roman" w:hAnsi="Times New Roman" w:cs="Times New Roman"/>
          <w:sz w:val="20"/>
          <w:szCs w:val="20"/>
        </w:rPr>
        <w:t>et seq</w:t>
      </w:r>
      <w:r w:rsidRPr="00E66CF8">
        <w:rPr>
          <w:rFonts w:ascii="Times New Roman" w:hAnsi="Times New Roman" w:cs="Times New Roman"/>
          <w:sz w:val="20"/>
          <w:szCs w:val="20"/>
        </w:rPr>
        <w:t xml:space="preserve">.); </w:t>
      </w:r>
      <w:proofErr w:type="spellStart"/>
      <w:r>
        <w:rPr>
          <w:rFonts w:ascii="Times New Roman" w:hAnsi="Times New Roman" w:cs="Times New Roman"/>
          <w:sz w:val="20"/>
          <w:szCs w:val="20"/>
        </w:rPr>
        <w:t>dissenting</w:t>
      </w:r>
      <w:proofErr w:type="spellEnd"/>
      <w:r w:rsidRPr="00E66CF8">
        <w:rPr>
          <w:rFonts w:ascii="Times New Roman" w:hAnsi="Times New Roman" w:cs="Times New Roman"/>
          <w:sz w:val="20"/>
          <w:szCs w:val="20"/>
        </w:rPr>
        <w:t xml:space="preserve"> </w:t>
      </w:r>
      <w:r w:rsidRPr="00E66CF8">
        <w:rPr>
          <w:rFonts w:ascii="Times New Roman" w:hAnsi="Times New Roman" w:cs="Times New Roman"/>
          <w:i/>
          <w:sz w:val="20"/>
          <w:szCs w:val="20"/>
        </w:rPr>
        <w:t>Herbst/Gebhardt</w:t>
      </w:r>
      <w:r w:rsidRPr="00AF6052">
        <w:rPr>
          <w:rFonts w:ascii="Times New Roman" w:hAnsi="Times New Roman" w:cs="Times New Roman"/>
          <w:sz w:val="20"/>
          <w:szCs w:val="20"/>
        </w:rPr>
        <w:t>,</w:t>
      </w:r>
      <w:r w:rsidRPr="00E66CF8">
        <w:rPr>
          <w:rFonts w:ascii="Times New Roman" w:hAnsi="Times New Roman" w:cs="Times New Roman"/>
          <w:sz w:val="20"/>
          <w:szCs w:val="20"/>
        </w:rPr>
        <w:t xml:space="preserve"> D</w:t>
      </w:r>
      <w:r>
        <w:rPr>
          <w:rFonts w:ascii="Times New Roman" w:hAnsi="Times New Roman" w:cs="Times New Roman"/>
          <w:sz w:val="20"/>
          <w:szCs w:val="20"/>
        </w:rPr>
        <w:t>eutsches Steuerrecht</w:t>
      </w:r>
      <w:r w:rsidRPr="00E66CF8">
        <w:rPr>
          <w:rFonts w:ascii="Times New Roman" w:hAnsi="Times New Roman" w:cs="Times New Roman"/>
          <w:sz w:val="20"/>
          <w:szCs w:val="20"/>
        </w:rPr>
        <w:t xml:space="preserve"> 2016, 1705 </w:t>
      </w:r>
      <w:proofErr w:type="spellStart"/>
      <w:r>
        <w:rPr>
          <w:rFonts w:ascii="Times New Roman" w:hAnsi="Times New Roman" w:cs="Times New Roman"/>
          <w:sz w:val="20"/>
          <w:szCs w:val="20"/>
        </w:rPr>
        <w:t>footnote</w:t>
      </w:r>
      <w:proofErr w:type="spellEnd"/>
      <w:r w:rsidRPr="00E66CF8">
        <w:rPr>
          <w:rFonts w:ascii="Times New Roman" w:hAnsi="Times New Roman" w:cs="Times New Roman"/>
          <w:sz w:val="20"/>
          <w:szCs w:val="20"/>
        </w:rPr>
        <w:t xml:space="preserve"> 2.</w:t>
      </w:r>
    </w:p>
  </w:footnote>
  <w:footnote w:id="28">
    <w:p w14:paraId="0134E2F9" w14:textId="49E565F1" w:rsidR="00D13078" w:rsidRPr="00E66CF8" w:rsidRDefault="00D13078" w:rsidP="00210E20">
      <w:pPr>
        <w:pStyle w:val="Funotentext"/>
        <w:jc w:val="both"/>
        <w:rPr>
          <w:rFonts w:ascii="Times New Roman" w:hAnsi="Times New Roman" w:cs="Times New Roman"/>
          <w:sz w:val="20"/>
          <w:szCs w:val="20"/>
        </w:rPr>
      </w:pPr>
      <w:r w:rsidRPr="00E66CF8">
        <w:rPr>
          <w:rStyle w:val="Funotenzeichen"/>
          <w:rFonts w:ascii="Times New Roman" w:hAnsi="Times New Roman" w:cs="Times New Roman"/>
          <w:sz w:val="20"/>
          <w:szCs w:val="20"/>
        </w:rPr>
        <w:footnoteRef/>
      </w:r>
      <w:r w:rsidRPr="00E66CF8">
        <w:rPr>
          <w:rFonts w:ascii="Times New Roman" w:hAnsi="Times New Roman" w:cs="Times New Roman"/>
          <w:sz w:val="20"/>
          <w:szCs w:val="20"/>
        </w:rPr>
        <w:t xml:space="preserve"> </w:t>
      </w:r>
      <w:proofErr w:type="spellStart"/>
      <w:r>
        <w:rPr>
          <w:rFonts w:ascii="Times New Roman" w:hAnsi="Times New Roman" w:cs="Times New Roman"/>
          <w:sz w:val="20"/>
          <w:szCs w:val="20"/>
        </w:rPr>
        <w:t>Published</w:t>
      </w:r>
      <w:proofErr w:type="spellEnd"/>
      <w:r>
        <w:rPr>
          <w:rFonts w:ascii="Times New Roman" w:hAnsi="Times New Roman" w:cs="Times New Roman"/>
          <w:sz w:val="20"/>
          <w:szCs w:val="20"/>
        </w:rPr>
        <w:t xml:space="preserve"> at</w:t>
      </w:r>
      <w:r w:rsidRPr="00E66CF8">
        <w:rPr>
          <w:rFonts w:ascii="Times New Roman" w:hAnsi="Times New Roman" w:cs="Times New Roman"/>
          <w:sz w:val="20"/>
          <w:szCs w:val="20"/>
        </w:rPr>
        <w:t xml:space="preserve"> &lt;http://legal.un.org/ilc/texts/instruments/english/conventions/1_1_1969.pdf&gt; (</w:t>
      </w:r>
      <w:proofErr w:type="spellStart"/>
      <w:r>
        <w:rPr>
          <w:rFonts w:ascii="Times New Roman" w:hAnsi="Times New Roman" w:cs="Times New Roman"/>
          <w:sz w:val="20"/>
          <w:szCs w:val="20"/>
        </w:rPr>
        <w:t>retrieved</w:t>
      </w:r>
      <w:proofErr w:type="spellEnd"/>
      <w:r w:rsidRPr="00E66CF8">
        <w:rPr>
          <w:rFonts w:ascii="Times New Roman" w:hAnsi="Times New Roman" w:cs="Times New Roman"/>
          <w:sz w:val="20"/>
          <w:szCs w:val="20"/>
        </w:rPr>
        <w:t xml:space="preserve"> </w:t>
      </w:r>
      <w:r>
        <w:rPr>
          <w:rFonts w:ascii="Times New Roman" w:hAnsi="Times New Roman" w:cs="Times New Roman"/>
          <w:sz w:val="20"/>
          <w:szCs w:val="20"/>
        </w:rPr>
        <w:t>on 11/4/</w:t>
      </w:r>
      <w:r w:rsidRPr="00E66CF8">
        <w:rPr>
          <w:rFonts w:ascii="Times New Roman" w:hAnsi="Times New Roman" w:cs="Times New Roman"/>
          <w:sz w:val="20"/>
          <w:szCs w:val="20"/>
        </w:rPr>
        <w:t>2018).</w:t>
      </w:r>
    </w:p>
  </w:footnote>
  <w:footnote w:id="29">
    <w:p w14:paraId="0318CF88" w14:textId="0345C6CD" w:rsidR="00D13078" w:rsidRPr="00E66CF8" w:rsidRDefault="00D13078" w:rsidP="00210E20">
      <w:pPr>
        <w:pStyle w:val="Funotentext"/>
        <w:jc w:val="both"/>
        <w:rPr>
          <w:rFonts w:ascii="Times New Roman" w:hAnsi="Times New Roman" w:cs="Times New Roman"/>
          <w:sz w:val="20"/>
          <w:szCs w:val="20"/>
          <w:lang w:val="en-US"/>
        </w:rPr>
      </w:pPr>
      <w:r w:rsidRPr="00E66CF8">
        <w:rPr>
          <w:rStyle w:val="Funotenzeichen"/>
          <w:rFonts w:ascii="Times New Roman" w:hAnsi="Times New Roman" w:cs="Times New Roman"/>
          <w:sz w:val="20"/>
          <w:szCs w:val="20"/>
        </w:rPr>
        <w:footnoteRef/>
      </w:r>
      <w:r w:rsidRPr="00E66CF8">
        <w:rPr>
          <w:rFonts w:ascii="Times New Roman" w:hAnsi="Times New Roman" w:cs="Times New Roman"/>
          <w:sz w:val="20"/>
          <w:szCs w:val="20"/>
        </w:rPr>
        <w:t xml:space="preserve"> </w:t>
      </w:r>
      <w:r>
        <w:rPr>
          <w:rFonts w:ascii="Times New Roman" w:hAnsi="Times New Roman" w:cs="Times New Roman"/>
          <w:sz w:val="20"/>
          <w:szCs w:val="20"/>
        </w:rPr>
        <w:t xml:space="preserve">See in </w:t>
      </w:r>
      <w:proofErr w:type="spellStart"/>
      <w:r>
        <w:rPr>
          <w:rFonts w:ascii="Times New Roman" w:hAnsi="Times New Roman" w:cs="Times New Roman"/>
          <w:sz w:val="20"/>
          <w:szCs w:val="20"/>
        </w:rPr>
        <w:t>detail</w:t>
      </w:r>
      <w:proofErr w:type="spellEnd"/>
      <w:r w:rsidRPr="00E66CF8">
        <w:rPr>
          <w:rFonts w:ascii="Times New Roman" w:hAnsi="Times New Roman" w:cs="Times New Roman"/>
          <w:sz w:val="20"/>
          <w:szCs w:val="20"/>
        </w:rPr>
        <w:t xml:space="preserve"> </w:t>
      </w:r>
      <w:proofErr w:type="spellStart"/>
      <w:r w:rsidRPr="00E66CF8">
        <w:rPr>
          <w:rFonts w:ascii="Times New Roman" w:hAnsi="Times New Roman" w:cs="Times New Roman"/>
          <w:i/>
          <w:sz w:val="20"/>
          <w:szCs w:val="20"/>
        </w:rPr>
        <w:t>Kreße</w:t>
      </w:r>
      <w:proofErr w:type="spellEnd"/>
      <w:r w:rsidRPr="00AF6052">
        <w:rPr>
          <w:rFonts w:ascii="Times New Roman" w:hAnsi="Times New Roman" w:cs="Times New Roman"/>
          <w:sz w:val="20"/>
          <w:szCs w:val="20"/>
        </w:rPr>
        <w:t>,</w:t>
      </w:r>
      <w:r w:rsidRPr="00E66CF8">
        <w:rPr>
          <w:rFonts w:ascii="Times New Roman" w:hAnsi="Times New Roman" w:cs="Times New Roman"/>
          <w:sz w:val="20"/>
          <w:szCs w:val="20"/>
        </w:rPr>
        <w:t xml:space="preserve"> </w:t>
      </w:r>
      <w:r>
        <w:rPr>
          <w:rFonts w:ascii="Times New Roman" w:hAnsi="Times New Roman" w:cs="Times New Roman"/>
          <w:sz w:val="20"/>
          <w:szCs w:val="20"/>
        </w:rPr>
        <w:t>European Union Private Law Review,</w:t>
      </w:r>
      <w:r w:rsidRPr="00E66CF8">
        <w:rPr>
          <w:rFonts w:ascii="Times New Roman" w:hAnsi="Times New Roman" w:cs="Times New Roman"/>
          <w:sz w:val="20"/>
          <w:szCs w:val="20"/>
        </w:rPr>
        <w:t xml:space="preserve"> 2018, </w:t>
      </w:r>
      <w:r>
        <w:rPr>
          <w:rFonts w:ascii="Times New Roman" w:hAnsi="Times New Roman" w:cs="Times New Roman"/>
          <w:sz w:val="20"/>
          <w:szCs w:val="20"/>
        </w:rPr>
        <w:t>210 (p. 212)</w:t>
      </w:r>
      <w:r w:rsidRPr="00E66CF8">
        <w:rPr>
          <w:rFonts w:ascii="Times New Roman" w:hAnsi="Times New Roman" w:cs="Times New Roman"/>
          <w:sz w:val="20"/>
          <w:szCs w:val="20"/>
        </w:rPr>
        <w:t xml:space="preserve">; </w:t>
      </w:r>
      <w:proofErr w:type="spellStart"/>
      <w:r>
        <w:rPr>
          <w:rFonts w:ascii="Times New Roman" w:hAnsi="Times New Roman" w:cs="Times New Roman"/>
          <w:sz w:val="20"/>
          <w:szCs w:val="20"/>
        </w:rPr>
        <w:t>dissenting</w:t>
      </w:r>
      <w:proofErr w:type="spellEnd"/>
      <w:r w:rsidRPr="00E66CF8">
        <w:rPr>
          <w:rFonts w:ascii="Times New Roman" w:hAnsi="Times New Roman" w:cs="Times New Roman"/>
          <w:sz w:val="20"/>
          <w:szCs w:val="20"/>
        </w:rPr>
        <w:t xml:space="preserve"> </w:t>
      </w:r>
      <w:r w:rsidRPr="00E66CF8">
        <w:rPr>
          <w:rFonts w:ascii="Times New Roman" w:hAnsi="Times New Roman" w:cs="Times New Roman"/>
          <w:i/>
          <w:sz w:val="20"/>
          <w:szCs w:val="20"/>
        </w:rPr>
        <w:t>Schroeter/</w:t>
      </w:r>
      <w:proofErr w:type="spellStart"/>
      <w:r w:rsidRPr="00E66CF8">
        <w:rPr>
          <w:rFonts w:ascii="Times New Roman" w:hAnsi="Times New Roman" w:cs="Times New Roman"/>
          <w:i/>
          <w:sz w:val="20"/>
          <w:szCs w:val="20"/>
        </w:rPr>
        <w:t>Nemeczek</w:t>
      </w:r>
      <w:proofErr w:type="spellEnd"/>
      <w:r w:rsidRPr="00AF6052">
        <w:rPr>
          <w:rFonts w:ascii="Times New Roman" w:hAnsi="Times New Roman" w:cs="Times New Roman"/>
          <w:sz w:val="20"/>
          <w:szCs w:val="20"/>
        </w:rPr>
        <w:t>,</w:t>
      </w:r>
      <w:r w:rsidRPr="00E66CF8">
        <w:rPr>
          <w:rFonts w:ascii="Times New Roman" w:hAnsi="Times New Roman" w:cs="Times New Roman"/>
          <w:sz w:val="20"/>
          <w:szCs w:val="20"/>
        </w:rPr>
        <w:t xml:space="preserve"> E</w:t>
      </w:r>
      <w:r>
        <w:rPr>
          <w:rFonts w:ascii="Times New Roman" w:hAnsi="Times New Roman" w:cs="Times New Roman"/>
          <w:sz w:val="20"/>
          <w:szCs w:val="20"/>
        </w:rPr>
        <w:t>uropean Business Law Review,</w:t>
      </w:r>
      <w:r w:rsidRPr="00E66CF8">
        <w:rPr>
          <w:rFonts w:ascii="Times New Roman" w:hAnsi="Times New Roman" w:cs="Times New Roman"/>
          <w:sz w:val="20"/>
          <w:szCs w:val="20"/>
        </w:rPr>
        <w:t xml:space="preserve"> 2016, 921 (</w:t>
      </w:r>
      <w:proofErr w:type="spellStart"/>
      <w:r>
        <w:rPr>
          <w:rFonts w:ascii="Times New Roman" w:hAnsi="Times New Roman" w:cs="Times New Roman"/>
          <w:sz w:val="20"/>
          <w:szCs w:val="20"/>
        </w:rPr>
        <w:t>see</w:t>
      </w:r>
      <w:proofErr w:type="spellEnd"/>
      <w:r>
        <w:rPr>
          <w:rFonts w:ascii="Times New Roman" w:hAnsi="Times New Roman" w:cs="Times New Roman"/>
          <w:sz w:val="20"/>
          <w:szCs w:val="20"/>
        </w:rPr>
        <w:t xml:space="preserve"> p. </w:t>
      </w:r>
      <w:r w:rsidRPr="00E66CF8">
        <w:rPr>
          <w:rFonts w:ascii="Times New Roman" w:hAnsi="Times New Roman" w:cs="Times New Roman"/>
          <w:sz w:val="20"/>
          <w:szCs w:val="20"/>
        </w:rPr>
        <w:t xml:space="preserve">940 </w:t>
      </w:r>
      <w:r>
        <w:rPr>
          <w:rFonts w:ascii="Times New Roman" w:hAnsi="Times New Roman" w:cs="Times New Roman"/>
          <w:sz w:val="20"/>
          <w:szCs w:val="20"/>
        </w:rPr>
        <w:t>et seq</w:t>
      </w:r>
      <w:r w:rsidRPr="00E66CF8">
        <w:rPr>
          <w:rFonts w:ascii="Times New Roman" w:hAnsi="Times New Roman" w:cs="Times New Roman"/>
          <w:sz w:val="20"/>
          <w:szCs w:val="20"/>
        </w:rPr>
        <w:t xml:space="preserve">.); </w:t>
      </w:r>
      <w:r>
        <w:rPr>
          <w:rFonts w:ascii="Times New Roman" w:hAnsi="Times New Roman" w:cs="Times New Roman"/>
          <w:i/>
          <w:sz w:val="20"/>
          <w:szCs w:val="20"/>
        </w:rPr>
        <w:t>ibid</w:t>
      </w:r>
      <w:r w:rsidRPr="00E66CF8">
        <w:rPr>
          <w:rFonts w:ascii="Times New Roman" w:hAnsi="Times New Roman" w:cs="Times New Roman"/>
          <w:i/>
          <w:sz w:val="20"/>
          <w:szCs w:val="20"/>
        </w:rPr>
        <w:t>.</w:t>
      </w:r>
      <w:r w:rsidRPr="00AF6052">
        <w:rPr>
          <w:rFonts w:ascii="Times New Roman" w:hAnsi="Times New Roman" w:cs="Times New Roman"/>
          <w:sz w:val="20"/>
          <w:szCs w:val="20"/>
        </w:rPr>
        <w:t>,</w:t>
      </w:r>
      <w:r w:rsidRPr="00E66CF8">
        <w:rPr>
          <w:rFonts w:ascii="Times New Roman" w:hAnsi="Times New Roman" w:cs="Times New Roman"/>
          <w:sz w:val="20"/>
          <w:szCs w:val="20"/>
        </w:rPr>
        <w:t xml:space="preserve"> </w:t>
      </w:r>
      <w:proofErr w:type="spellStart"/>
      <w:r w:rsidRPr="00E66CF8">
        <w:rPr>
          <w:rFonts w:ascii="Times New Roman" w:hAnsi="Times New Roman" w:cs="Times New Roman"/>
          <w:sz w:val="20"/>
          <w:szCs w:val="20"/>
          <w:lang w:val="en-US"/>
        </w:rPr>
        <w:t>J</w:t>
      </w:r>
      <w:r>
        <w:rPr>
          <w:rFonts w:ascii="Times New Roman" w:hAnsi="Times New Roman" w:cs="Times New Roman"/>
          <w:sz w:val="20"/>
          <w:szCs w:val="20"/>
          <w:lang w:val="en-US"/>
        </w:rPr>
        <w:t>uristenzeitung</w:t>
      </w:r>
      <w:proofErr w:type="spellEnd"/>
      <w:r>
        <w:rPr>
          <w:rFonts w:ascii="Times New Roman" w:hAnsi="Times New Roman" w:cs="Times New Roman"/>
          <w:sz w:val="20"/>
          <w:szCs w:val="20"/>
          <w:lang w:val="en-US"/>
        </w:rPr>
        <w:t>,</w:t>
      </w:r>
      <w:r w:rsidRPr="00E66CF8">
        <w:rPr>
          <w:rFonts w:ascii="Times New Roman" w:hAnsi="Times New Roman" w:cs="Times New Roman"/>
          <w:sz w:val="20"/>
          <w:szCs w:val="20"/>
          <w:lang w:val="en-US"/>
        </w:rPr>
        <w:t xml:space="preserve"> 2017, 713 (</w:t>
      </w:r>
      <w:r>
        <w:rPr>
          <w:rFonts w:ascii="Times New Roman" w:hAnsi="Times New Roman" w:cs="Times New Roman"/>
          <w:sz w:val="20"/>
          <w:szCs w:val="20"/>
          <w:lang w:val="en-US"/>
        </w:rPr>
        <w:t xml:space="preserve">p. </w:t>
      </w:r>
      <w:r w:rsidRPr="00E66CF8">
        <w:rPr>
          <w:rFonts w:ascii="Times New Roman" w:hAnsi="Times New Roman" w:cs="Times New Roman"/>
          <w:sz w:val="20"/>
          <w:szCs w:val="20"/>
          <w:lang w:val="en-US"/>
        </w:rPr>
        <w:t>717).</w:t>
      </w:r>
    </w:p>
  </w:footnote>
  <w:footnote w:id="30">
    <w:p w14:paraId="55790E3F" w14:textId="0E52B998" w:rsidR="00D13078" w:rsidRPr="00E66CF8" w:rsidRDefault="00D13078" w:rsidP="00210E20">
      <w:pPr>
        <w:pStyle w:val="Funotentext"/>
        <w:jc w:val="both"/>
        <w:rPr>
          <w:rFonts w:ascii="Times New Roman" w:hAnsi="Times New Roman" w:cs="Times New Roman"/>
          <w:sz w:val="20"/>
          <w:szCs w:val="20"/>
          <w:lang w:val="en-US"/>
        </w:rPr>
      </w:pPr>
      <w:r w:rsidRPr="00E66CF8">
        <w:rPr>
          <w:rStyle w:val="Funotenzeichen"/>
          <w:rFonts w:ascii="Times New Roman" w:hAnsi="Times New Roman" w:cs="Times New Roman"/>
          <w:sz w:val="20"/>
          <w:szCs w:val="20"/>
        </w:rPr>
        <w:footnoteRef/>
      </w:r>
      <w:r w:rsidRPr="00E66CF8">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See in detail </w:t>
      </w:r>
      <w:proofErr w:type="spellStart"/>
      <w:r w:rsidRPr="00E66CF8">
        <w:rPr>
          <w:rFonts w:ascii="Times New Roman" w:hAnsi="Times New Roman" w:cs="Times New Roman"/>
          <w:i/>
          <w:sz w:val="20"/>
          <w:szCs w:val="20"/>
          <w:lang w:val="en-US"/>
        </w:rPr>
        <w:t>Kreße</w:t>
      </w:r>
      <w:proofErr w:type="spellEnd"/>
      <w:r w:rsidRPr="00AF6052">
        <w:rPr>
          <w:rFonts w:ascii="Times New Roman" w:hAnsi="Times New Roman" w:cs="Times New Roman"/>
          <w:sz w:val="20"/>
          <w:szCs w:val="20"/>
          <w:lang w:val="en-US"/>
        </w:rPr>
        <w:t>,</w:t>
      </w:r>
      <w:r w:rsidRPr="00E66CF8">
        <w:rPr>
          <w:rFonts w:ascii="Times New Roman" w:hAnsi="Times New Roman" w:cs="Times New Roman"/>
          <w:sz w:val="20"/>
          <w:szCs w:val="20"/>
          <w:lang w:val="en-US"/>
        </w:rPr>
        <w:t xml:space="preserve"> </w:t>
      </w:r>
      <w:r>
        <w:rPr>
          <w:rFonts w:ascii="Times New Roman" w:hAnsi="Times New Roman" w:cs="Times New Roman"/>
          <w:sz w:val="20"/>
          <w:szCs w:val="20"/>
        </w:rPr>
        <w:t>European Union Private Law Review,</w:t>
      </w:r>
      <w:r w:rsidRPr="00E66CF8">
        <w:rPr>
          <w:rFonts w:ascii="Times New Roman" w:hAnsi="Times New Roman" w:cs="Times New Roman"/>
          <w:sz w:val="20"/>
          <w:szCs w:val="20"/>
        </w:rPr>
        <w:t xml:space="preserve"> 2018, </w:t>
      </w:r>
      <w:r>
        <w:rPr>
          <w:rFonts w:ascii="Times New Roman" w:hAnsi="Times New Roman" w:cs="Times New Roman"/>
          <w:sz w:val="20"/>
          <w:szCs w:val="20"/>
        </w:rPr>
        <w:t xml:space="preserve">210 </w:t>
      </w:r>
      <w:r>
        <w:rPr>
          <w:rFonts w:ascii="Times New Roman" w:hAnsi="Times New Roman" w:cs="Times New Roman"/>
          <w:sz w:val="20"/>
          <w:szCs w:val="20"/>
          <w:lang w:val="en-US"/>
        </w:rPr>
        <w:t>(p. 212 et seq.)</w:t>
      </w:r>
      <w:r w:rsidRPr="00E66CF8">
        <w:rPr>
          <w:rFonts w:ascii="Times New Roman" w:hAnsi="Times New Roman" w:cs="Times New Roman"/>
          <w:sz w:val="20"/>
          <w:szCs w:val="20"/>
          <w:lang w:val="en-US"/>
        </w:rPr>
        <w:t>.</w:t>
      </w:r>
    </w:p>
  </w:footnote>
  <w:footnote w:id="31">
    <w:p w14:paraId="53B6677E" w14:textId="7E768B15" w:rsidR="00D13078" w:rsidRPr="00651A88" w:rsidRDefault="00D13078" w:rsidP="00BF3513">
      <w:pPr>
        <w:pStyle w:val="Funotentext"/>
        <w:jc w:val="both"/>
        <w:rPr>
          <w:rFonts w:ascii="Times New Roman" w:hAnsi="Times New Roman" w:cs="Times New Roman"/>
          <w:sz w:val="20"/>
          <w:szCs w:val="20"/>
          <w:lang w:val="en-US"/>
        </w:rPr>
      </w:pPr>
      <w:r w:rsidRPr="00E66CF8">
        <w:rPr>
          <w:rStyle w:val="Funotenzeichen"/>
          <w:rFonts w:ascii="Times New Roman" w:hAnsi="Times New Roman" w:cs="Times New Roman"/>
          <w:sz w:val="20"/>
          <w:szCs w:val="20"/>
        </w:rPr>
        <w:footnoteRef/>
      </w:r>
      <w:r w:rsidRPr="00E66CF8">
        <w:rPr>
          <w:rFonts w:ascii="Times New Roman" w:hAnsi="Times New Roman" w:cs="Times New Roman"/>
          <w:sz w:val="20"/>
          <w:szCs w:val="20"/>
          <w:lang w:val="en-US"/>
        </w:rPr>
        <w:t xml:space="preserve"> Department for Business, Energy &amp; Industrial Strategy (BEIS), </w:t>
      </w:r>
      <w:r>
        <w:rPr>
          <w:rFonts w:ascii="Times New Roman" w:hAnsi="Times New Roman" w:cs="Times New Roman"/>
          <w:sz w:val="20"/>
          <w:szCs w:val="20"/>
          <w:lang w:val="en-US"/>
        </w:rPr>
        <w:t>Guidance notice “</w:t>
      </w:r>
      <w:r w:rsidRPr="00E66CF8">
        <w:rPr>
          <w:rFonts w:ascii="Times New Roman" w:hAnsi="Times New Roman" w:cs="Times New Roman"/>
          <w:sz w:val="20"/>
          <w:szCs w:val="20"/>
          <w:lang w:val="en-US"/>
        </w:rPr>
        <w:t>State aid if there’s no Brexit deal</w:t>
      </w:r>
      <w:r>
        <w:rPr>
          <w:rFonts w:ascii="Times New Roman" w:hAnsi="Times New Roman" w:cs="Times New Roman"/>
          <w:sz w:val="20"/>
          <w:szCs w:val="20"/>
          <w:lang w:val="en-US"/>
        </w:rPr>
        <w:t>” of</w:t>
      </w:r>
      <w:r w:rsidRPr="00E66CF8">
        <w:rPr>
          <w:rFonts w:ascii="Times New Roman" w:hAnsi="Times New Roman" w:cs="Times New Roman"/>
          <w:sz w:val="20"/>
          <w:szCs w:val="20"/>
          <w:lang w:val="en-US"/>
        </w:rPr>
        <w:t xml:space="preserve"> </w:t>
      </w:r>
      <w:r>
        <w:rPr>
          <w:rFonts w:ascii="Times New Roman" w:hAnsi="Times New Roman" w:cs="Times New Roman"/>
          <w:sz w:val="20"/>
          <w:szCs w:val="20"/>
          <w:lang w:val="en-US"/>
        </w:rPr>
        <w:t>8/23/</w:t>
      </w:r>
      <w:r w:rsidRPr="00BF3513">
        <w:rPr>
          <w:rFonts w:ascii="Times New Roman" w:hAnsi="Times New Roman" w:cs="Times New Roman"/>
          <w:sz w:val="20"/>
          <w:szCs w:val="20"/>
          <w:lang w:val="en-US"/>
        </w:rPr>
        <w:t>2018, published at &lt;https://www.gov.uk/government/publications/state-aid-if-theres-no-brexit-deal&gt; (</w:t>
      </w:r>
      <w:r>
        <w:rPr>
          <w:rFonts w:ascii="Times New Roman" w:hAnsi="Times New Roman" w:cs="Times New Roman"/>
          <w:sz w:val="20"/>
          <w:szCs w:val="20"/>
          <w:lang w:val="en-US"/>
        </w:rPr>
        <w:t>retrieved</w:t>
      </w:r>
      <w:r w:rsidRPr="00BF3513">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on 11/4/2018), </w:t>
      </w:r>
      <w:r w:rsidRPr="00651A88">
        <w:rPr>
          <w:rFonts w:ascii="Times New Roman" w:hAnsi="Times New Roman" w:cs="Times New Roman"/>
          <w:sz w:val="20"/>
          <w:szCs w:val="20"/>
          <w:lang w:val="en-US"/>
        </w:rPr>
        <w:t>sub “Before 29 March 2019”.</w:t>
      </w:r>
    </w:p>
  </w:footnote>
  <w:footnote w:id="32">
    <w:p w14:paraId="51F0AE4B" w14:textId="0CFB0FEB" w:rsidR="00D13078" w:rsidRPr="00E66CF8" w:rsidRDefault="00D13078" w:rsidP="00AF6052">
      <w:pPr>
        <w:jc w:val="both"/>
        <w:rPr>
          <w:color w:val="000000" w:themeColor="text1"/>
          <w:sz w:val="20"/>
          <w:szCs w:val="20"/>
        </w:rPr>
      </w:pPr>
      <w:r w:rsidRPr="00E66CF8">
        <w:rPr>
          <w:rStyle w:val="Funotenzeichen"/>
          <w:color w:val="000000" w:themeColor="text1"/>
          <w:sz w:val="20"/>
          <w:szCs w:val="20"/>
        </w:rPr>
        <w:footnoteRef/>
      </w:r>
      <w:r w:rsidRPr="00E66CF8">
        <w:rPr>
          <w:color w:val="000000" w:themeColor="text1"/>
          <w:sz w:val="20"/>
          <w:szCs w:val="20"/>
        </w:rPr>
        <w:t xml:space="preserve"> </w:t>
      </w:r>
      <w:proofErr w:type="spellStart"/>
      <w:r>
        <w:rPr>
          <w:color w:val="000000" w:themeColor="text1"/>
          <w:sz w:val="20"/>
          <w:szCs w:val="20"/>
        </w:rPr>
        <w:t>Commission</w:t>
      </w:r>
      <w:proofErr w:type="spellEnd"/>
      <w:r>
        <w:rPr>
          <w:color w:val="000000" w:themeColor="text1"/>
          <w:sz w:val="20"/>
          <w:szCs w:val="20"/>
        </w:rPr>
        <w:t xml:space="preserve"> </w:t>
      </w:r>
      <w:r>
        <w:rPr>
          <w:color w:val="000000" w:themeColor="text1"/>
          <w:sz w:val="20"/>
          <w:szCs w:val="20"/>
          <w:shd w:val="clear" w:color="auto" w:fill="FFFFFF"/>
        </w:rPr>
        <w:t>Regulation</w:t>
      </w:r>
      <w:r w:rsidRPr="00E66CF8">
        <w:rPr>
          <w:color w:val="000000" w:themeColor="text1"/>
          <w:sz w:val="20"/>
          <w:szCs w:val="20"/>
          <w:shd w:val="clear" w:color="auto" w:fill="FFFFFF"/>
        </w:rPr>
        <w:t xml:space="preserve"> (EU) 702/2014, </w:t>
      </w:r>
      <w:r>
        <w:rPr>
          <w:color w:val="000000" w:themeColor="text1"/>
          <w:sz w:val="20"/>
          <w:szCs w:val="20"/>
          <w:shd w:val="clear" w:color="auto" w:fill="FFFFFF"/>
        </w:rPr>
        <w:t>OJ</w:t>
      </w:r>
      <w:r w:rsidRPr="00E66CF8">
        <w:rPr>
          <w:color w:val="000000" w:themeColor="text1"/>
          <w:sz w:val="20"/>
          <w:szCs w:val="20"/>
          <w:shd w:val="clear" w:color="auto" w:fill="FFFFFF"/>
        </w:rPr>
        <w:t xml:space="preserve"> 2014 L 193, 1.</w:t>
      </w:r>
    </w:p>
  </w:footnote>
  <w:footnote w:id="33">
    <w:p w14:paraId="6487DE07" w14:textId="4521F350" w:rsidR="00D13078" w:rsidRPr="00E66CF8" w:rsidRDefault="00D13078" w:rsidP="00AF6052">
      <w:pPr>
        <w:jc w:val="both"/>
        <w:rPr>
          <w:color w:val="000000" w:themeColor="text1"/>
          <w:sz w:val="20"/>
          <w:szCs w:val="20"/>
        </w:rPr>
      </w:pPr>
      <w:r w:rsidRPr="00E66CF8">
        <w:rPr>
          <w:rStyle w:val="Funotenzeichen"/>
          <w:color w:val="000000" w:themeColor="text1"/>
          <w:sz w:val="20"/>
          <w:szCs w:val="20"/>
        </w:rPr>
        <w:footnoteRef/>
      </w:r>
      <w:r w:rsidRPr="00E66CF8">
        <w:rPr>
          <w:color w:val="000000" w:themeColor="text1"/>
          <w:sz w:val="20"/>
          <w:szCs w:val="20"/>
        </w:rPr>
        <w:t xml:space="preserve"> </w:t>
      </w:r>
      <w:proofErr w:type="spellStart"/>
      <w:r>
        <w:rPr>
          <w:color w:val="000000" w:themeColor="text1"/>
          <w:sz w:val="20"/>
          <w:szCs w:val="20"/>
        </w:rPr>
        <w:t>Commission</w:t>
      </w:r>
      <w:proofErr w:type="spellEnd"/>
      <w:r>
        <w:rPr>
          <w:color w:val="000000" w:themeColor="text1"/>
          <w:sz w:val="20"/>
          <w:szCs w:val="20"/>
        </w:rPr>
        <w:t xml:space="preserve"> </w:t>
      </w:r>
      <w:r>
        <w:rPr>
          <w:color w:val="000000" w:themeColor="text1"/>
          <w:sz w:val="20"/>
          <w:szCs w:val="20"/>
          <w:shd w:val="clear" w:color="auto" w:fill="FFFFFF"/>
        </w:rPr>
        <w:t>Regulation</w:t>
      </w:r>
      <w:r w:rsidRPr="00E66CF8">
        <w:rPr>
          <w:color w:val="000000" w:themeColor="text1"/>
          <w:sz w:val="20"/>
          <w:szCs w:val="20"/>
          <w:shd w:val="clear" w:color="auto" w:fill="FFFFFF"/>
        </w:rPr>
        <w:t xml:space="preserve"> (EU) 1388/2014, </w:t>
      </w:r>
      <w:r>
        <w:rPr>
          <w:color w:val="000000" w:themeColor="text1"/>
          <w:sz w:val="20"/>
          <w:szCs w:val="20"/>
          <w:shd w:val="clear" w:color="auto" w:fill="FFFFFF"/>
        </w:rPr>
        <w:t>OJ</w:t>
      </w:r>
      <w:r w:rsidRPr="00E66CF8">
        <w:rPr>
          <w:color w:val="000000" w:themeColor="text1"/>
          <w:sz w:val="20"/>
          <w:szCs w:val="20"/>
          <w:shd w:val="clear" w:color="auto" w:fill="FFFFFF"/>
        </w:rPr>
        <w:t xml:space="preserve"> 2014 L 369, 37.</w:t>
      </w:r>
    </w:p>
  </w:footnote>
  <w:footnote w:id="34">
    <w:p w14:paraId="5F58517B" w14:textId="41B7E224" w:rsidR="00D13078" w:rsidRPr="00496AE9" w:rsidRDefault="00D13078" w:rsidP="00651A88">
      <w:pPr>
        <w:pStyle w:val="Funotentext"/>
        <w:jc w:val="both"/>
        <w:rPr>
          <w:rFonts w:ascii="Times New Roman" w:hAnsi="Times New Roman" w:cs="Times New Roman"/>
          <w:color w:val="000000" w:themeColor="text1"/>
          <w:sz w:val="20"/>
          <w:szCs w:val="20"/>
          <w:lang w:val="en-US"/>
        </w:rPr>
      </w:pPr>
      <w:r w:rsidRPr="00651A88">
        <w:rPr>
          <w:rStyle w:val="Funotenzeichen"/>
          <w:rFonts w:ascii="Times New Roman" w:hAnsi="Times New Roman" w:cs="Times New Roman"/>
          <w:color w:val="000000" w:themeColor="text1"/>
          <w:sz w:val="20"/>
          <w:szCs w:val="20"/>
          <w:lang w:val="en-US"/>
        </w:rPr>
        <w:footnoteRef/>
      </w:r>
      <w:r w:rsidRPr="00651A88">
        <w:rPr>
          <w:rFonts w:ascii="Times New Roman" w:hAnsi="Times New Roman" w:cs="Times New Roman"/>
          <w:color w:val="000000" w:themeColor="text1"/>
          <w:sz w:val="20"/>
          <w:szCs w:val="20"/>
          <w:lang w:val="en-US"/>
        </w:rPr>
        <w:t xml:space="preserve"> BEIS</w:t>
      </w:r>
      <w:r>
        <w:rPr>
          <w:rFonts w:ascii="Times New Roman" w:hAnsi="Times New Roman" w:cs="Times New Roman"/>
          <w:color w:val="000000" w:themeColor="text1"/>
          <w:sz w:val="20"/>
          <w:szCs w:val="20"/>
          <w:lang w:val="en-US"/>
        </w:rPr>
        <w:t>,</w:t>
      </w:r>
      <w:r w:rsidRPr="00651A88">
        <w:rPr>
          <w:rFonts w:ascii="Times New Roman" w:hAnsi="Times New Roman" w:cs="Times New Roman"/>
          <w:color w:val="000000" w:themeColor="text1"/>
          <w:sz w:val="20"/>
          <w:szCs w:val="20"/>
          <w:lang w:val="en-US"/>
        </w:rPr>
        <w:t xml:space="preserve"> State aid if </w:t>
      </w:r>
      <w:r w:rsidRPr="00496AE9">
        <w:rPr>
          <w:rFonts w:ascii="Times New Roman" w:hAnsi="Times New Roman" w:cs="Times New Roman"/>
          <w:color w:val="000000" w:themeColor="text1"/>
          <w:sz w:val="20"/>
          <w:szCs w:val="20"/>
          <w:lang w:val="en-US"/>
        </w:rPr>
        <w:t>there’s no Brexit deal, sub “After 29 March 2019 if there’s ‘no deal’”.</w:t>
      </w:r>
    </w:p>
  </w:footnote>
  <w:footnote w:id="35">
    <w:p w14:paraId="027D3E9D" w14:textId="6B9FDBCF" w:rsidR="00D13078" w:rsidRPr="00AB5385" w:rsidRDefault="00D13078" w:rsidP="00496AE9">
      <w:pPr>
        <w:pStyle w:val="Funotentext"/>
        <w:jc w:val="both"/>
        <w:rPr>
          <w:rFonts w:ascii="Times New Roman" w:hAnsi="Times New Roman" w:cs="Times New Roman"/>
          <w:color w:val="000000" w:themeColor="text1"/>
          <w:sz w:val="20"/>
          <w:szCs w:val="20"/>
          <w:lang w:val="en-US"/>
        </w:rPr>
      </w:pPr>
      <w:r w:rsidRPr="00496AE9">
        <w:rPr>
          <w:rStyle w:val="Funotenzeichen"/>
          <w:rFonts w:ascii="Times New Roman" w:hAnsi="Times New Roman" w:cs="Times New Roman"/>
          <w:color w:val="000000" w:themeColor="text1"/>
          <w:sz w:val="20"/>
          <w:szCs w:val="20"/>
          <w:lang w:val="en-US"/>
        </w:rPr>
        <w:footnoteRef/>
      </w:r>
      <w:r w:rsidRPr="00496AE9">
        <w:rPr>
          <w:rFonts w:ascii="Times New Roman" w:hAnsi="Times New Roman" w:cs="Times New Roman"/>
          <w:color w:val="000000" w:themeColor="text1"/>
          <w:sz w:val="20"/>
          <w:szCs w:val="20"/>
          <w:lang w:val="en-US"/>
        </w:rPr>
        <w:t xml:space="preserve"> BEIS, State aid if t</w:t>
      </w:r>
      <w:r w:rsidRPr="00AB5385">
        <w:rPr>
          <w:rFonts w:ascii="Times New Roman" w:hAnsi="Times New Roman" w:cs="Times New Roman"/>
          <w:color w:val="000000" w:themeColor="text1"/>
          <w:sz w:val="20"/>
          <w:szCs w:val="20"/>
          <w:lang w:val="en-US"/>
        </w:rPr>
        <w:t>here’s no Brexit deal, sub “After 29 March 2019 if there’s ‘no deal’”.</w:t>
      </w:r>
    </w:p>
  </w:footnote>
  <w:footnote w:id="36">
    <w:p w14:paraId="38B1545F" w14:textId="5895EF84" w:rsidR="00D13078" w:rsidRPr="00E66CF8" w:rsidRDefault="00D13078" w:rsidP="00AB5385">
      <w:pPr>
        <w:pStyle w:val="Funotentext"/>
        <w:jc w:val="both"/>
        <w:rPr>
          <w:rFonts w:ascii="Times New Roman" w:hAnsi="Times New Roman" w:cs="Times New Roman"/>
          <w:color w:val="000000" w:themeColor="text1"/>
          <w:sz w:val="20"/>
          <w:szCs w:val="20"/>
        </w:rPr>
      </w:pPr>
      <w:r w:rsidRPr="00AB5385">
        <w:rPr>
          <w:rStyle w:val="Funotenzeichen"/>
          <w:rFonts w:ascii="Times New Roman" w:hAnsi="Times New Roman" w:cs="Times New Roman"/>
          <w:color w:val="000000" w:themeColor="text1"/>
          <w:sz w:val="20"/>
          <w:szCs w:val="20"/>
          <w:lang w:val="en-US"/>
        </w:rPr>
        <w:footnoteRef/>
      </w:r>
      <w:r w:rsidRPr="00AB5385">
        <w:rPr>
          <w:rFonts w:ascii="Times New Roman" w:hAnsi="Times New Roman" w:cs="Times New Roman"/>
          <w:color w:val="000000" w:themeColor="text1"/>
          <w:sz w:val="20"/>
          <w:szCs w:val="20"/>
          <w:lang w:val="en-US"/>
        </w:rPr>
        <w:t xml:space="preserve"> Comp. </w:t>
      </w:r>
      <w:r>
        <w:rPr>
          <w:rFonts w:ascii="Times New Roman" w:hAnsi="Times New Roman" w:cs="Times New Roman"/>
          <w:color w:val="000000" w:themeColor="text1"/>
          <w:sz w:val="20"/>
          <w:szCs w:val="20"/>
          <w:lang w:val="en-US"/>
        </w:rPr>
        <w:t>t</w:t>
      </w:r>
      <w:r w:rsidRPr="00AB5385">
        <w:rPr>
          <w:rFonts w:ascii="Times New Roman" w:hAnsi="Times New Roman" w:cs="Times New Roman"/>
          <w:color w:val="000000" w:themeColor="text1"/>
          <w:sz w:val="20"/>
          <w:szCs w:val="20"/>
          <w:lang w:val="en-US"/>
        </w:rPr>
        <w:t xml:space="preserve">he </w:t>
      </w:r>
      <w:r>
        <w:rPr>
          <w:rFonts w:ascii="Times New Roman" w:hAnsi="Times New Roman" w:cs="Times New Roman"/>
          <w:color w:val="000000" w:themeColor="text1"/>
          <w:sz w:val="20"/>
          <w:szCs w:val="20"/>
          <w:lang w:val="en-US"/>
        </w:rPr>
        <w:t>list of “</w:t>
      </w:r>
      <w:r w:rsidRPr="00AB5385">
        <w:rPr>
          <w:rFonts w:ascii="Times New Roman" w:hAnsi="Times New Roman" w:cs="Times New Roman"/>
          <w:color w:val="000000" w:themeColor="text1"/>
          <w:sz w:val="20"/>
          <w:szCs w:val="20"/>
          <w:lang w:val="en-US"/>
        </w:rPr>
        <w:t>Departments, agencies and public bodies</w:t>
      </w:r>
      <w:r>
        <w:rPr>
          <w:rFonts w:ascii="Times New Roman" w:hAnsi="Times New Roman" w:cs="Times New Roman"/>
          <w:color w:val="000000" w:themeColor="text1"/>
          <w:sz w:val="20"/>
          <w:szCs w:val="20"/>
          <w:lang w:val="en-US"/>
        </w:rPr>
        <w:t>” of the UK government</w:t>
      </w:r>
      <w:r w:rsidRPr="00AB5385">
        <w:rPr>
          <w:rFonts w:ascii="Times New Roman" w:hAnsi="Times New Roman" w:cs="Times New Roman"/>
          <w:color w:val="000000" w:themeColor="text1"/>
          <w:sz w:val="20"/>
          <w:szCs w:val="20"/>
          <w:lang w:val="en-US"/>
        </w:rPr>
        <w:t xml:space="preserve">, </w:t>
      </w:r>
      <w:r>
        <w:rPr>
          <w:rFonts w:ascii="Times New Roman" w:hAnsi="Times New Roman" w:cs="Times New Roman"/>
          <w:color w:val="000000" w:themeColor="text1"/>
          <w:sz w:val="20"/>
          <w:szCs w:val="20"/>
          <w:lang w:val="en-US"/>
        </w:rPr>
        <w:t>published at</w:t>
      </w:r>
      <w:r w:rsidRPr="00AB5385">
        <w:rPr>
          <w:rFonts w:ascii="Times New Roman" w:hAnsi="Times New Roman" w:cs="Times New Roman"/>
          <w:color w:val="000000" w:themeColor="text1"/>
          <w:sz w:val="20"/>
          <w:szCs w:val="20"/>
          <w:lang w:val="en-US"/>
        </w:rPr>
        <w:t xml:space="preserve"> &lt;https://www.gov.uk/gov</w:t>
      </w:r>
      <w:proofErr w:type="spellStart"/>
      <w:r w:rsidRPr="00E66CF8">
        <w:rPr>
          <w:rFonts w:ascii="Times New Roman" w:hAnsi="Times New Roman" w:cs="Times New Roman"/>
          <w:color w:val="000000" w:themeColor="text1"/>
          <w:sz w:val="20"/>
          <w:szCs w:val="20"/>
        </w:rPr>
        <w:t>ernment</w:t>
      </w:r>
      <w:proofErr w:type="spellEnd"/>
      <w:r w:rsidRPr="00E66CF8">
        <w:rPr>
          <w:rFonts w:ascii="Times New Roman" w:hAnsi="Times New Roman" w:cs="Times New Roman"/>
          <w:color w:val="000000" w:themeColor="text1"/>
          <w:sz w:val="20"/>
          <w:szCs w:val="20"/>
        </w:rPr>
        <w:t>/</w:t>
      </w:r>
      <w:proofErr w:type="spellStart"/>
      <w:r w:rsidRPr="00E66CF8">
        <w:rPr>
          <w:rFonts w:ascii="Times New Roman" w:hAnsi="Times New Roman" w:cs="Times New Roman"/>
          <w:color w:val="000000" w:themeColor="text1"/>
          <w:sz w:val="20"/>
          <w:szCs w:val="20"/>
        </w:rPr>
        <w:t>organisations</w:t>
      </w:r>
      <w:proofErr w:type="spellEnd"/>
      <w:r w:rsidRPr="00E66CF8">
        <w:rPr>
          <w:rFonts w:ascii="Times New Roman" w:hAnsi="Times New Roman" w:cs="Times New Roman"/>
          <w:color w:val="000000" w:themeColor="text1"/>
          <w:sz w:val="20"/>
          <w:szCs w:val="20"/>
        </w:rPr>
        <w:t>&gt; (</w:t>
      </w:r>
      <w:proofErr w:type="spellStart"/>
      <w:r>
        <w:rPr>
          <w:rFonts w:ascii="Times New Roman" w:hAnsi="Times New Roman" w:cs="Times New Roman"/>
          <w:color w:val="000000" w:themeColor="text1"/>
          <w:sz w:val="20"/>
          <w:szCs w:val="20"/>
        </w:rPr>
        <w:t>retrieved</w:t>
      </w:r>
      <w:proofErr w:type="spellEnd"/>
      <w:r w:rsidRPr="00E66CF8">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on 11/4/</w:t>
      </w:r>
      <w:r w:rsidRPr="00E66CF8">
        <w:rPr>
          <w:rFonts w:ascii="Times New Roman" w:hAnsi="Times New Roman" w:cs="Times New Roman"/>
          <w:color w:val="000000" w:themeColor="text1"/>
          <w:sz w:val="20"/>
          <w:szCs w:val="20"/>
        </w:rPr>
        <w:t>2018).</w:t>
      </w:r>
    </w:p>
  </w:footnote>
  <w:footnote w:id="37">
    <w:p w14:paraId="0C1DCC55" w14:textId="1E43556E" w:rsidR="00D13078" w:rsidRPr="00862301" w:rsidRDefault="00D13078" w:rsidP="00862301">
      <w:pPr>
        <w:pStyle w:val="Funotentext"/>
        <w:jc w:val="both"/>
        <w:rPr>
          <w:rFonts w:ascii="Times New Roman" w:hAnsi="Times New Roman" w:cs="Times New Roman"/>
          <w:sz w:val="20"/>
          <w:szCs w:val="20"/>
          <w:lang w:val="en-US"/>
        </w:rPr>
      </w:pPr>
      <w:r w:rsidRPr="00E66CF8">
        <w:rPr>
          <w:rStyle w:val="Funotenzeichen"/>
          <w:rFonts w:ascii="Times New Roman" w:hAnsi="Times New Roman" w:cs="Times New Roman"/>
          <w:sz w:val="20"/>
          <w:szCs w:val="20"/>
        </w:rPr>
        <w:footnoteRef/>
      </w:r>
      <w:r w:rsidRPr="00E66CF8">
        <w:rPr>
          <w:rFonts w:ascii="Times New Roman" w:hAnsi="Times New Roman" w:cs="Times New Roman"/>
          <w:sz w:val="20"/>
          <w:szCs w:val="20"/>
        </w:rPr>
        <w:t xml:space="preserve"> </w:t>
      </w:r>
      <w:proofErr w:type="spellStart"/>
      <w:r>
        <w:rPr>
          <w:rFonts w:ascii="Times New Roman" w:hAnsi="Times New Roman" w:cs="Times New Roman"/>
          <w:sz w:val="20"/>
          <w:szCs w:val="20"/>
        </w:rPr>
        <w:t>Concerning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measures</w:t>
      </w:r>
      <w:proofErr w:type="spellEnd"/>
      <w:r>
        <w:rPr>
          <w:rFonts w:ascii="Times New Roman" w:hAnsi="Times New Roman" w:cs="Times New Roman"/>
          <w:sz w:val="20"/>
          <w:szCs w:val="20"/>
        </w:rPr>
        <w:t xml:space="preserve"> </w:t>
      </w:r>
      <w:r w:rsidRPr="00862301">
        <w:rPr>
          <w:rFonts w:ascii="Times New Roman" w:hAnsi="Times New Roman" w:cs="Times New Roman"/>
          <w:sz w:val="20"/>
          <w:szCs w:val="20"/>
          <w:lang w:val="en-US"/>
        </w:rPr>
        <w:t>to ensure the independence of the CMA</w:t>
      </w:r>
      <w:r>
        <w:rPr>
          <w:rFonts w:ascii="Times New Roman" w:hAnsi="Times New Roman" w:cs="Times New Roman"/>
          <w:sz w:val="20"/>
          <w:szCs w:val="20"/>
          <w:lang w:val="en-US"/>
        </w:rPr>
        <w:t>,</w:t>
      </w:r>
      <w:r w:rsidRPr="00862301">
        <w:rPr>
          <w:rFonts w:ascii="Times New Roman" w:hAnsi="Times New Roman" w:cs="Times New Roman"/>
          <w:sz w:val="20"/>
          <w:szCs w:val="20"/>
          <w:lang w:val="en-US"/>
        </w:rPr>
        <w:t xml:space="preserve"> comp. </w:t>
      </w:r>
      <w:proofErr w:type="gramStart"/>
      <w:r w:rsidRPr="00862301">
        <w:rPr>
          <w:rFonts w:ascii="Times New Roman" w:hAnsi="Times New Roman" w:cs="Times New Roman"/>
          <w:sz w:val="20"/>
          <w:szCs w:val="20"/>
          <w:lang w:val="en-US"/>
        </w:rPr>
        <w:t>in</w:t>
      </w:r>
      <w:proofErr w:type="gramEnd"/>
      <w:r w:rsidRPr="00862301">
        <w:rPr>
          <w:rFonts w:ascii="Times New Roman" w:hAnsi="Times New Roman" w:cs="Times New Roman"/>
          <w:sz w:val="20"/>
          <w:szCs w:val="20"/>
          <w:lang w:val="en-US"/>
        </w:rPr>
        <w:t xml:space="preserve"> detail the UK government publ</w:t>
      </w:r>
      <w:r w:rsidRPr="00862301">
        <w:rPr>
          <w:rFonts w:ascii="Times New Roman" w:hAnsi="Times New Roman" w:cs="Times New Roman"/>
          <w:sz w:val="20"/>
          <w:szCs w:val="20"/>
          <w:lang w:val="en-US"/>
        </w:rPr>
        <w:t>i</w:t>
      </w:r>
      <w:r w:rsidRPr="00862301">
        <w:rPr>
          <w:rFonts w:ascii="Times New Roman" w:hAnsi="Times New Roman" w:cs="Times New Roman"/>
          <w:sz w:val="20"/>
          <w:szCs w:val="20"/>
          <w:lang w:val="en-US"/>
        </w:rPr>
        <w:t>cation</w:t>
      </w:r>
      <w:r>
        <w:rPr>
          <w:rFonts w:ascii="Times New Roman" w:hAnsi="Times New Roman" w:cs="Times New Roman"/>
          <w:sz w:val="20"/>
          <w:szCs w:val="20"/>
          <w:lang w:val="en-US"/>
        </w:rPr>
        <w:t xml:space="preserve"> “</w:t>
      </w:r>
      <w:r w:rsidRPr="00862301">
        <w:rPr>
          <w:rFonts w:ascii="Times New Roman" w:hAnsi="Times New Roman" w:cs="Times New Roman"/>
          <w:sz w:val="20"/>
          <w:szCs w:val="20"/>
          <w:lang w:val="en-US"/>
        </w:rPr>
        <w:t>Independen</w:t>
      </w:r>
      <w:r>
        <w:rPr>
          <w:rFonts w:ascii="Times New Roman" w:hAnsi="Times New Roman" w:cs="Times New Roman"/>
          <w:sz w:val="20"/>
          <w:szCs w:val="20"/>
          <w:lang w:val="en-US"/>
        </w:rPr>
        <w:t xml:space="preserve">ce of competition authorities – </w:t>
      </w:r>
      <w:r w:rsidRPr="00862301">
        <w:rPr>
          <w:rFonts w:ascii="Times New Roman" w:hAnsi="Times New Roman" w:cs="Times New Roman"/>
          <w:sz w:val="20"/>
          <w:szCs w:val="20"/>
          <w:lang w:val="en-US"/>
        </w:rPr>
        <w:t xml:space="preserve">from designs to </w:t>
      </w:r>
      <w:r>
        <w:rPr>
          <w:rFonts w:ascii="Times New Roman" w:hAnsi="Times New Roman" w:cs="Times New Roman"/>
          <w:sz w:val="20"/>
          <w:szCs w:val="20"/>
          <w:lang w:val="en-US"/>
        </w:rPr>
        <w:t>practices” of</w:t>
      </w:r>
      <w:r w:rsidRPr="00862301">
        <w:rPr>
          <w:rFonts w:ascii="Times New Roman" w:hAnsi="Times New Roman" w:cs="Times New Roman"/>
          <w:sz w:val="20"/>
          <w:szCs w:val="20"/>
          <w:lang w:val="en-US"/>
        </w:rPr>
        <w:t xml:space="preserve"> </w:t>
      </w:r>
      <w:r>
        <w:rPr>
          <w:rFonts w:ascii="Times New Roman" w:hAnsi="Times New Roman" w:cs="Times New Roman"/>
          <w:sz w:val="20"/>
          <w:szCs w:val="20"/>
          <w:lang w:val="en-US"/>
        </w:rPr>
        <w:t>11/24/</w:t>
      </w:r>
      <w:r w:rsidRPr="00862301">
        <w:rPr>
          <w:rFonts w:ascii="Times New Roman" w:hAnsi="Times New Roman" w:cs="Times New Roman"/>
          <w:sz w:val="20"/>
          <w:szCs w:val="20"/>
          <w:lang w:val="en-US"/>
        </w:rPr>
        <w:t>2016,</w:t>
      </w:r>
      <w:r>
        <w:rPr>
          <w:rFonts w:ascii="Times New Roman" w:hAnsi="Times New Roman" w:cs="Times New Roman"/>
          <w:sz w:val="20"/>
          <w:szCs w:val="20"/>
          <w:lang w:val="en-US"/>
        </w:rPr>
        <w:t xml:space="preserve"> </w:t>
      </w:r>
      <w:r w:rsidRPr="00862301">
        <w:rPr>
          <w:rFonts w:ascii="Times New Roman" w:hAnsi="Times New Roman" w:cs="Times New Roman"/>
          <w:sz w:val="20"/>
          <w:szCs w:val="20"/>
          <w:lang w:val="en-US"/>
        </w:rPr>
        <w:t>OECD Global F</w:t>
      </w:r>
      <w:r w:rsidRPr="00862301">
        <w:rPr>
          <w:rFonts w:ascii="Times New Roman" w:hAnsi="Times New Roman" w:cs="Times New Roman"/>
          <w:sz w:val="20"/>
          <w:szCs w:val="20"/>
          <w:lang w:val="en-US"/>
        </w:rPr>
        <w:t>o</w:t>
      </w:r>
      <w:r w:rsidRPr="00862301">
        <w:rPr>
          <w:rFonts w:ascii="Times New Roman" w:hAnsi="Times New Roman" w:cs="Times New Roman"/>
          <w:sz w:val="20"/>
          <w:szCs w:val="20"/>
          <w:lang w:val="en-US"/>
        </w:rPr>
        <w:t xml:space="preserve">rum on Competition, </w:t>
      </w:r>
      <w:r>
        <w:rPr>
          <w:rFonts w:ascii="Times New Roman" w:hAnsi="Times New Roman" w:cs="Times New Roman"/>
          <w:sz w:val="20"/>
          <w:szCs w:val="20"/>
          <w:lang w:val="en-US"/>
        </w:rPr>
        <w:t>published at</w:t>
      </w:r>
      <w:r w:rsidRPr="00862301">
        <w:rPr>
          <w:rFonts w:ascii="Times New Roman" w:hAnsi="Times New Roman" w:cs="Times New Roman"/>
          <w:sz w:val="20"/>
          <w:szCs w:val="20"/>
          <w:lang w:val="en-US"/>
        </w:rPr>
        <w:t xml:space="preserve"> &lt;https://one.oecd.org/document/DAF/COMP/GF/WD(2016)77/en/pdf&gt; (</w:t>
      </w:r>
      <w:r>
        <w:rPr>
          <w:rFonts w:ascii="Times New Roman" w:hAnsi="Times New Roman" w:cs="Times New Roman"/>
          <w:sz w:val="20"/>
          <w:szCs w:val="20"/>
          <w:lang w:val="en-US"/>
        </w:rPr>
        <w:t>r</w:t>
      </w:r>
      <w:r>
        <w:rPr>
          <w:rFonts w:ascii="Times New Roman" w:hAnsi="Times New Roman" w:cs="Times New Roman"/>
          <w:sz w:val="20"/>
          <w:szCs w:val="20"/>
          <w:lang w:val="en-US"/>
        </w:rPr>
        <w:t>e</w:t>
      </w:r>
      <w:r>
        <w:rPr>
          <w:rFonts w:ascii="Times New Roman" w:hAnsi="Times New Roman" w:cs="Times New Roman"/>
          <w:sz w:val="20"/>
          <w:szCs w:val="20"/>
          <w:lang w:val="en-US"/>
        </w:rPr>
        <w:t>trieved</w:t>
      </w:r>
      <w:r w:rsidRPr="00862301">
        <w:rPr>
          <w:rFonts w:ascii="Times New Roman" w:hAnsi="Times New Roman" w:cs="Times New Roman"/>
          <w:sz w:val="20"/>
          <w:szCs w:val="20"/>
          <w:lang w:val="en-US"/>
        </w:rPr>
        <w:t xml:space="preserve"> </w:t>
      </w:r>
      <w:r>
        <w:rPr>
          <w:rFonts w:ascii="Times New Roman" w:hAnsi="Times New Roman" w:cs="Times New Roman"/>
          <w:sz w:val="20"/>
          <w:szCs w:val="20"/>
          <w:lang w:val="en-US"/>
        </w:rPr>
        <w:t>on 11/4/</w:t>
      </w:r>
      <w:r w:rsidRPr="00862301">
        <w:rPr>
          <w:rFonts w:ascii="Times New Roman" w:hAnsi="Times New Roman" w:cs="Times New Roman"/>
          <w:sz w:val="20"/>
          <w:szCs w:val="20"/>
          <w:lang w:val="en-US"/>
        </w:rPr>
        <w:t>2018).</w:t>
      </w:r>
    </w:p>
  </w:footnote>
  <w:footnote w:id="38">
    <w:p w14:paraId="09C47443" w14:textId="78461E06" w:rsidR="00D13078" w:rsidRPr="00E66CF8" w:rsidRDefault="00D13078" w:rsidP="00AD6C11">
      <w:pPr>
        <w:pStyle w:val="Funotentext"/>
        <w:jc w:val="both"/>
        <w:rPr>
          <w:rFonts w:ascii="Times New Roman" w:hAnsi="Times New Roman" w:cs="Times New Roman"/>
          <w:color w:val="000000" w:themeColor="text1"/>
          <w:sz w:val="20"/>
          <w:szCs w:val="20"/>
          <w:lang w:val="en-US"/>
        </w:rPr>
      </w:pPr>
      <w:r w:rsidRPr="00E66CF8">
        <w:rPr>
          <w:rStyle w:val="Funotenzeichen"/>
          <w:rFonts w:ascii="Times New Roman" w:hAnsi="Times New Roman" w:cs="Times New Roman"/>
          <w:color w:val="000000" w:themeColor="text1"/>
          <w:sz w:val="20"/>
          <w:szCs w:val="20"/>
        </w:rPr>
        <w:footnoteRef/>
      </w:r>
      <w:r w:rsidRPr="00E66CF8">
        <w:rPr>
          <w:rFonts w:ascii="Times New Roman" w:hAnsi="Times New Roman" w:cs="Times New Roman"/>
          <w:color w:val="000000" w:themeColor="text1"/>
          <w:sz w:val="20"/>
          <w:szCs w:val="20"/>
          <w:lang w:val="en-US"/>
        </w:rPr>
        <w:t xml:space="preserve"> BEIS</w:t>
      </w:r>
      <w:r>
        <w:rPr>
          <w:rFonts w:ascii="Times New Roman" w:hAnsi="Times New Roman" w:cs="Times New Roman"/>
          <w:color w:val="000000" w:themeColor="text1"/>
          <w:sz w:val="20"/>
          <w:szCs w:val="20"/>
          <w:lang w:val="en-US"/>
        </w:rPr>
        <w:t>,</w:t>
      </w:r>
      <w:r w:rsidRPr="00E66CF8">
        <w:rPr>
          <w:rFonts w:ascii="Times New Roman" w:hAnsi="Times New Roman" w:cs="Times New Roman"/>
          <w:color w:val="000000" w:themeColor="text1"/>
          <w:sz w:val="20"/>
          <w:szCs w:val="20"/>
          <w:lang w:val="en-US"/>
        </w:rPr>
        <w:t xml:space="preserve"> State aid if there’s no Brexit deal, sub</w:t>
      </w:r>
      <w:r>
        <w:rPr>
          <w:rFonts w:ascii="Times New Roman" w:hAnsi="Times New Roman" w:cs="Times New Roman"/>
          <w:color w:val="000000" w:themeColor="text1"/>
          <w:sz w:val="20"/>
          <w:szCs w:val="20"/>
          <w:lang w:val="en-US"/>
        </w:rPr>
        <w:t xml:space="preserve"> “</w:t>
      </w:r>
      <w:r w:rsidRPr="00E66CF8">
        <w:rPr>
          <w:rFonts w:ascii="Times New Roman" w:hAnsi="Times New Roman" w:cs="Times New Roman"/>
          <w:color w:val="000000" w:themeColor="text1"/>
          <w:sz w:val="20"/>
          <w:szCs w:val="20"/>
          <w:lang w:val="en-US"/>
        </w:rPr>
        <w:t>After 29 March 2019 if there’s</w:t>
      </w:r>
      <w:r>
        <w:rPr>
          <w:rFonts w:ascii="Times New Roman" w:hAnsi="Times New Roman" w:cs="Times New Roman"/>
          <w:color w:val="000000" w:themeColor="text1"/>
          <w:sz w:val="20"/>
          <w:szCs w:val="20"/>
          <w:lang w:val="en-US"/>
        </w:rPr>
        <w:t xml:space="preserve"> ‘</w:t>
      </w:r>
      <w:r w:rsidRPr="00E66CF8">
        <w:rPr>
          <w:rFonts w:ascii="Times New Roman" w:hAnsi="Times New Roman" w:cs="Times New Roman"/>
          <w:color w:val="000000" w:themeColor="text1"/>
          <w:sz w:val="20"/>
          <w:szCs w:val="20"/>
          <w:lang w:val="en-US"/>
        </w:rPr>
        <w:t>no deal</w:t>
      </w:r>
      <w:r>
        <w:rPr>
          <w:rFonts w:ascii="Times New Roman" w:hAnsi="Times New Roman" w:cs="Times New Roman"/>
          <w:color w:val="000000" w:themeColor="text1"/>
          <w:sz w:val="20"/>
          <w:szCs w:val="20"/>
          <w:lang w:val="en-US"/>
        </w:rPr>
        <w:t>’</w:t>
      </w:r>
      <w:r w:rsidRPr="00E66CF8">
        <w:rPr>
          <w:rFonts w:ascii="Times New Roman" w:hAnsi="Times New Roman" w:cs="Times New Roman"/>
          <w:color w:val="000000" w:themeColor="text1"/>
          <w:sz w:val="20"/>
          <w:szCs w:val="20"/>
          <w:lang w:val="en-US"/>
        </w:rPr>
        <w:t xml:space="preserve"> / Implications</w:t>
      </w:r>
      <w:r>
        <w:rPr>
          <w:rFonts w:ascii="Times New Roman" w:hAnsi="Times New Roman" w:cs="Times New Roman"/>
          <w:color w:val="000000" w:themeColor="text1"/>
          <w:sz w:val="20"/>
          <w:szCs w:val="20"/>
          <w:lang w:val="en-US"/>
        </w:rPr>
        <w:t>”</w:t>
      </w:r>
      <w:r w:rsidRPr="00E66CF8">
        <w:rPr>
          <w:rFonts w:ascii="Times New Roman" w:hAnsi="Times New Roman" w:cs="Times New Roman"/>
          <w:color w:val="000000" w:themeColor="text1"/>
          <w:sz w:val="20"/>
          <w:szCs w:val="20"/>
          <w:lang w:val="en-US"/>
        </w:rPr>
        <w:t>.</w:t>
      </w:r>
    </w:p>
  </w:footnote>
  <w:footnote w:id="39">
    <w:p w14:paraId="4BE57BF7" w14:textId="514F38FC" w:rsidR="00D13078" w:rsidRPr="00E66CF8" w:rsidRDefault="00D13078" w:rsidP="00873A95">
      <w:pPr>
        <w:pStyle w:val="Funotentext"/>
        <w:jc w:val="both"/>
        <w:rPr>
          <w:rFonts w:ascii="Times New Roman" w:hAnsi="Times New Roman" w:cs="Times New Roman"/>
          <w:sz w:val="20"/>
          <w:szCs w:val="20"/>
        </w:rPr>
      </w:pPr>
      <w:r w:rsidRPr="00E66CF8">
        <w:rPr>
          <w:rStyle w:val="Funotenzeichen"/>
          <w:rFonts w:ascii="Times New Roman" w:hAnsi="Times New Roman" w:cs="Times New Roman"/>
          <w:sz w:val="20"/>
          <w:szCs w:val="20"/>
        </w:rPr>
        <w:footnoteRef/>
      </w:r>
      <w:r w:rsidRPr="00E66CF8">
        <w:rPr>
          <w:rFonts w:ascii="Times New Roman" w:hAnsi="Times New Roman" w:cs="Times New Roman"/>
          <w:sz w:val="20"/>
          <w:szCs w:val="20"/>
        </w:rPr>
        <w:t xml:space="preserve"> </w:t>
      </w:r>
      <w:r>
        <w:rPr>
          <w:rFonts w:ascii="Times New Roman" w:hAnsi="Times New Roman" w:cs="Times New Roman"/>
          <w:sz w:val="20"/>
          <w:szCs w:val="20"/>
        </w:rPr>
        <w:t>See</w:t>
      </w:r>
      <w:r w:rsidRPr="00E66CF8">
        <w:rPr>
          <w:rFonts w:ascii="Times New Roman" w:hAnsi="Times New Roman" w:cs="Times New Roman"/>
          <w:sz w:val="20"/>
          <w:szCs w:val="20"/>
        </w:rPr>
        <w:t xml:space="preserve"> </w:t>
      </w:r>
      <w:proofErr w:type="spellStart"/>
      <w:r w:rsidRPr="00E66CF8">
        <w:rPr>
          <w:rFonts w:ascii="Times New Roman" w:hAnsi="Times New Roman" w:cs="Times New Roman"/>
          <w:i/>
          <w:sz w:val="20"/>
          <w:szCs w:val="20"/>
        </w:rPr>
        <w:t>Kreße</w:t>
      </w:r>
      <w:proofErr w:type="spellEnd"/>
      <w:r w:rsidRPr="00873A95">
        <w:rPr>
          <w:rFonts w:ascii="Times New Roman" w:hAnsi="Times New Roman" w:cs="Times New Roman"/>
          <w:sz w:val="20"/>
          <w:szCs w:val="20"/>
        </w:rPr>
        <w:t>,</w:t>
      </w:r>
      <w:r w:rsidRPr="00E66CF8">
        <w:rPr>
          <w:rFonts w:ascii="Times New Roman" w:hAnsi="Times New Roman" w:cs="Times New Roman"/>
          <w:sz w:val="20"/>
          <w:szCs w:val="20"/>
        </w:rPr>
        <w:t xml:space="preserve"> </w:t>
      </w:r>
      <w:r>
        <w:rPr>
          <w:rFonts w:ascii="Times New Roman" w:hAnsi="Times New Roman" w:cs="Times New Roman"/>
          <w:sz w:val="20"/>
          <w:szCs w:val="20"/>
        </w:rPr>
        <w:t>European Union Private Law Review,</w:t>
      </w:r>
      <w:r w:rsidRPr="00E66CF8">
        <w:rPr>
          <w:rFonts w:ascii="Times New Roman" w:hAnsi="Times New Roman" w:cs="Times New Roman"/>
          <w:sz w:val="20"/>
          <w:szCs w:val="20"/>
        </w:rPr>
        <w:t xml:space="preserve"> 2018</w:t>
      </w:r>
      <w:r>
        <w:rPr>
          <w:rFonts w:ascii="Times New Roman" w:hAnsi="Times New Roman" w:cs="Times New Roman"/>
          <w:sz w:val="20"/>
          <w:szCs w:val="20"/>
        </w:rPr>
        <w:t>, 210 (p. 214)</w:t>
      </w:r>
      <w:r w:rsidRPr="00E66CF8">
        <w:rPr>
          <w:rFonts w:ascii="Times New Roman" w:hAnsi="Times New Roman" w:cs="Times New Roman"/>
          <w:sz w:val="20"/>
          <w:szCs w:val="20"/>
        </w:rPr>
        <w:t>.</w:t>
      </w:r>
    </w:p>
  </w:footnote>
  <w:footnote w:id="40">
    <w:p w14:paraId="443E2E1E" w14:textId="66680AD3" w:rsidR="00D13078" w:rsidRPr="00E66CF8" w:rsidRDefault="00D13078" w:rsidP="00781628">
      <w:pPr>
        <w:pStyle w:val="Funotentext"/>
        <w:jc w:val="both"/>
        <w:rPr>
          <w:rFonts w:ascii="Times New Roman" w:hAnsi="Times New Roman" w:cs="Times New Roman"/>
          <w:sz w:val="20"/>
          <w:szCs w:val="20"/>
        </w:rPr>
      </w:pPr>
      <w:r w:rsidRPr="00E66CF8">
        <w:rPr>
          <w:rStyle w:val="Funotenzeichen"/>
          <w:rFonts w:ascii="Times New Roman" w:hAnsi="Times New Roman" w:cs="Times New Roman"/>
          <w:sz w:val="20"/>
          <w:szCs w:val="20"/>
        </w:rPr>
        <w:footnoteRef/>
      </w:r>
      <w:r w:rsidRPr="00E66CF8">
        <w:rPr>
          <w:rFonts w:ascii="Times New Roman" w:hAnsi="Times New Roman" w:cs="Times New Roman"/>
          <w:sz w:val="20"/>
          <w:szCs w:val="20"/>
        </w:rPr>
        <w:t xml:space="preserve"> </w:t>
      </w:r>
      <w:proofErr w:type="spellStart"/>
      <w:r>
        <w:rPr>
          <w:rFonts w:ascii="Times New Roman" w:hAnsi="Times New Roman" w:cs="Times New Roman"/>
          <w:sz w:val="20"/>
          <w:szCs w:val="20"/>
        </w:rPr>
        <w:t>Published</w:t>
      </w:r>
      <w:proofErr w:type="spellEnd"/>
      <w:r>
        <w:rPr>
          <w:rFonts w:ascii="Times New Roman" w:hAnsi="Times New Roman" w:cs="Times New Roman"/>
          <w:sz w:val="20"/>
          <w:szCs w:val="20"/>
        </w:rPr>
        <w:t xml:space="preserve"> at</w:t>
      </w:r>
      <w:r w:rsidRPr="00E66CF8">
        <w:rPr>
          <w:rFonts w:ascii="Times New Roman" w:hAnsi="Times New Roman" w:cs="Times New Roman"/>
          <w:sz w:val="20"/>
          <w:szCs w:val="20"/>
        </w:rPr>
        <w:t xml:space="preserve"> &lt;http://www.legislation.gov.uk/ukpga/2018/16/contents/enacted&gt; (</w:t>
      </w:r>
      <w:proofErr w:type="spellStart"/>
      <w:r>
        <w:rPr>
          <w:rFonts w:ascii="Times New Roman" w:hAnsi="Times New Roman" w:cs="Times New Roman"/>
          <w:sz w:val="20"/>
          <w:szCs w:val="20"/>
        </w:rPr>
        <w:t>retrieved</w:t>
      </w:r>
      <w:proofErr w:type="spellEnd"/>
      <w:r>
        <w:rPr>
          <w:rFonts w:ascii="Times New Roman" w:hAnsi="Times New Roman" w:cs="Times New Roman"/>
          <w:sz w:val="20"/>
          <w:szCs w:val="20"/>
        </w:rPr>
        <w:t xml:space="preserve"> on</w:t>
      </w:r>
      <w:r w:rsidRPr="00E66CF8">
        <w:rPr>
          <w:rFonts w:ascii="Times New Roman" w:hAnsi="Times New Roman" w:cs="Times New Roman"/>
          <w:sz w:val="20"/>
          <w:szCs w:val="20"/>
        </w:rPr>
        <w:t xml:space="preserve"> </w:t>
      </w:r>
      <w:r>
        <w:rPr>
          <w:rFonts w:ascii="Times New Roman" w:hAnsi="Times New Roman" w:cs="Times New Roman"/>
          <w:sz w:val="20"/>
          <w:szCs w:val="20"/>
        </w:rPr>
        <w:t>11/4/</w:t>
      </w:r>
      <w:r w:rsidRPr="00E66CF8">
        <w:rPr>
          <w:rFonts w:ascii="Times New Roman" w:hAnsi="Times New Roman" w:cs="Times New Roman"/>
          <w:sz w:val="20"/>
          <w:szCs w:val="20"/>
        </w:rPr>
        <w:t>2018).</w:t>
      </w:r>
    </w:p>
  </w:footnote>
  <w:footnote w:id="41">
    <w:p w14:paraId="6D5BC555" w14:textId="11A91E9F" w:rsidR="00D13078" w:rsidRPr="00E66CF8" w:rsidRDefault="00D13078" w:rsidP="00781628">
      <w:pPr>
        <w:pStyle w:val="Funotentext"/>
        <w:jc w:val="both"/>
        <w:rPr>
          <w:rFonts w:ascii="Times New Roman" w:hAnsi="Times New Roman" w:cs="Times New Roman"/>
          <w:sz w:val="20"/>
          <w:szCs w:val="20"/>
          <w:lang w:val="en-US"/>
        </w:rPr>
      </w:pPr>
      <w:r w:rsidRPr="00E66CF8">
        <w:rPr>
          <w:rStyle w:val="Funotenzeichen"/>
          <w:rFonts w:ascii="Times New Roman" w:hAnsi="Times New Roman" w:cs="Times New Roman"/>
          <w:sz w:val="20"/>
          <w:szCs w:val="20"/>
        </w:rPr>
        <w:footnoteRef/>
      </w:r>
      <w:r w:rsidRPr="00E66CF8">
        <w:rPr>
          <w:rFonts w:ascii="Times New Roman" w:hAnsi="Times New Roman" w:cs="Times New Roman"/>
          <w:sz w:val="20"/>
          <w:szCs w:val="20"/>
          <w:lang w:val="en-US"/>
        </w:rPr>
        <w:t xml:space="preserve"> </w:t>
      </w:r>
      <w:r>
        <w:rPr>
          <w:rFonts w:ascii="Times New Roman" w:hAnsi="Times New Roman" w:cs="Times New Roman"/>
          <w:sz w:val="20"/>
          <w:szCs w:val="20"/>
          <w:lang w:val="en-US"/>
        </w:rPr>
        <w:t>Published at</w:t>
      </w:r>
      <w:r w:rsidRPr="00E66CF8">
        <w:rPr>
          <w:rFonts w:ascii="Times New Roman" w:hAnsi="Times New Roman" w:cs="Times New Roman"/>
          <w:sz w:val="20"/>
          <w:szCs w:val="20"/>
          <w:lang w:val="en-US"/>
        </w:rPr>
        <w:t xml:space="preserve"> &lt;https://publications.parliament.uk/pa/bills/cbill/2017-2019/0005/en/18005en.pdf&gt; (</w:t>
      </w:r>
      <w:r>
        <w:rPr>
          <w:rFonts w:ascii="Times New Roman" w:hAnsi="Times New Roman" w:cs="Times New Roman"/>
          <w:sz w:val="20"/>
          <w:szCs w:val="20"/>
          <w:lang w:val="en-US"/>
        </w:rPr>
        <w:t>retrieved on 11/4/2018</w:t>
      </w:r>
      <w:r w:rsidRPr="00E66CF8">
        <w:rPr>
          <w:rFonts w:ascii="Times New Roman" w:hAnsi="Times New Roman" w:cs="Times New Roman"/>
          <w:sz w:val="20"/>
          <w:szCs w:val="20"/>
          <w:lang w:val="en-US"/>
        </w:rPr>
        <w:t>).</w:t>
      </w:r>
    </w:p>
  </w:footnote>
  <w:footnote w:id="42">
    <w:p w14:paraId="442EB971" w14:textId="201297B5" w:rsidR="00D13078" w:rsidRPr="00C16167" w:rsidRDefault="00D13078" w:rsidP="00781628">
      <w:pPr>
        <w:pStyle w:val="Funotentext"/>
        <w:jc w:val="both"/>
        <w:rPr>
          <w:rFonts w:ascii="Times New Roman" w:hAnsi="Times New Roman" w:cs="Times New Roman"/>
          <w:sz w:val="20"/>
          <w:szCs w:val="20"/>
          <w:lang w:val="en-US"/>
        </w:rPr>
      </w:pPr>
      <w:r w:rsidRPr="00E66CF8">
        <w:rPr>
          <w:rStyle w:val="Funotenzeichen"/>
          <w:rFonts w:ascii="Times New Roman" w:hAnsi="Times New Roman" w:cs="Times New Roman"/>
          <w:sz w:val="20"/>
          <w:szCs w:val="20"/>
        </w:rPr>
        <w:footnoteRef/>
      </w:r>
      <w:r w:rsidRPr="00E66CF8">
        <w:rPr>
          <w:rFonts w:ascii="Times New Roman" w:hAnsi="Times New Roman" w:cs="Times New Roman"/>
          <w:sz w:val="20"/>
          <w:szCs w:val="20"/>
        </w:rPr>
        <w:t xml:space="preserve"> E</w:t>
      </w:r>
      <w:r>
        <w:rPr>
          <w:rFonts w:ascii="Times New Roman" w:hAnsi="Times New Roman" w:cs="Times New Roman"/>
          <w:sz w:val="20"/>
          <w:szCs w:val="20"/>
        </w:rPr>
        <w:t>CJ</w:t>
      </w:r>
      <w:r w:rsidRPr="00E66CF8">
        <w:rPr>
          <w:rFonts w:ascii="Times New Roman" w:hAnsi="Times New Roman" w:cs="Times New Roman"/>
          <w:sz w:val="20"/>
          <w:szCs w:val="20"/>
        </w:rPr>
        <w:t xml:space="preserve"> </w:t>
      </w:r>
      <w:r>
        <w:rPr>
          <w:rFonts w:ascii="Times New Roman" w:hAnsi="Times New Roman" w:cs="Times New Roman"/>
          <w:sz w:val="20"/>
          <w:szCs w:val="20"/>
        </w:rPr>
        <w:t>3/22/</w:t>
      </w:r>
      <w:r w:rsidRPr="00E66CF8">
        <w:rPr>
          <w:rFonts w:ascii="Times New Roman" w:hAnsi="Times New Roman" w:cs="Times New Roman"/>
          <w:sz w:val="20"/>
          <w:szCs w:val="20"/>
        </w:rPr>
        <w:t xml:space="preserve">1977 – 78/76, </w:t>
      </w:r>
      <w:r>
        <w:rPr>
          <w:rFonts w:ascii="Times New Roman" w:hAnsi="Times New Roman" w:cs="Times New Roman"/>
          <w:sz w:val="20"/>
          <w:szCs w:val="20"/>
        </w:rPr>
        <w:t>ECR</w:t>
      </w:r>
      <w:r w:rsidRPr="00E66CF8">
        <w:rPr>
          <w:rFonts w:ascii="Times New Roman" w:hAnsi="Times New Roman" w:cs="Times New Roman"/>
          <w:sz w:val="20"/>
          <w:szCs w:val="20"/>
        </w:rPr>
        <w:t xml:space="preserve"> 1977, 595 </w:t>
      </w:r>
      <w:r>
        <w:rPr>
          <w:rFonts w:ascii="Times New Roman" w:hAnsi="Times New Roman" w:cs="Times New Roman"/>
          <w:sz w:val="20"/>
          <w:szCs w:val="20"/>
        </w:rPr>
        <w:t>nos</w:t>
      </w:r>
      <w:r w:rsidRPr="00E66CF8">
        <w:rPr>
          <w:rFonts w:ascii="Times New Roman" w:hAnsi="Times New Roman" w:cs="Times New Roman"/>
          <w:sz w:val="20"/>
          <w:szCs w:val="20"/>
        </w:rPr>
        <w:t xml:space="preserve">. 8 </w:t>
      </w:r>
      <w:r>
        <w:rPr>
          <w:rFonts w:ascii="Times New Roman" w:hAnsi="Times New Roman" w:cs="Times New Roman"/>
          <w:sz w:val="20"/>
          <w:szCs w:val="20"/>
        </w:rPr>
        <w:t>et seq</w:t>
      </w:r>
      <w:r w:rsidRPr="00E66CF8">
        <w:rPr>
          <w:rFonts w:ascii="Times New Roman" w:hAnsi="Times New Roman" w:cs="Times New Roman"/>
          <w:sz w:val="20"/>
          <w:szCs w:val="20"/>
        </w:rPr>
        <w:t xml:space="preserve">. – </w:t>
      </w:r>
      <w:proofErr w:type="spellStart"/>
      <w:r w:rsidRPr="00E66CF8">
        <w:rPr>
          <w:rFonts w:ascii="Times New Roman" w:hAnsi="Times New Roman" w:cs="Times New Roman"/>
          <w:sz w:val="20"/>
          <w:szCs w:val="20"/>
        </w:rPr>
        <w:t>Steinike</w:t>
      </w:r>
      <w:proofErr w:type="spellEnd"/>
      <w:r w:rsidRPr="00E66CF8">
        <w:rPr>
          <w:rFonts w:ascii="Times New Roman" w:hAnsi="Times New Roman" w:cs="Times New Roman"/>
          <w:sz w:val="20"/>
          <w:szCs w:val="20"/>
        </w:rPr>
        <w:t xml:space="preserve"> </w:t>
      </w:r>
      <w:r>
        <w:rPr>
          <w:rFonts w:ascii="Times New Roman" w:hAnsi="Times New Roman" w:cs="Times New Roman"/>
          <w:sz w:val="20"/>
          <w:szCs w:val="20"/>
        </w:rPr>
        <w:t>&amp;</w:t>
      </w:r>
      <w:r w:rsidRPr="00E66CF8">
        <w:rPr>
          <w:rFonts w:ascii="Times New Roman" w:hAnsi="Times New Roman" w:cs="Times New Roman"/>
          <w:sz w:val="20"/>
          <w:szCs w:val="20"/>
        </w:rPr>
        <w:t xml:space="preserve"> </w:t>
      </w:r>
      <w:proofErr w:type="spellStart"/>
      <w:r w:rsidRPr="00E66CF8">
        <w:rPr>
          <w:rFonts w:ascii="Times New Roman" w:hAnsi="Times New Roman" w:cs="Times New Roman"/>
          <w:sz w:val="20"/>
          <w:szCs w:val="20"/>
        </w:rPr>
        <w:t>Weinlig</w:t>
      </w:r>
      <w:proofErr w:type="spellEnd"/>
      <w:r w:rsidRPr="00E66CF8">
        <w:rPr>
          <w:rFonts w:ascii="Times New Roman" w:hAnsi="Times New Roman" w:cs="Times New Roman"/>
          <w:sz w:val="20"/>
          <w:szCs w:val="20"/>
        </w:rPr>
        <w:t xml:space="preserve">; </w:t>
      </w:r>
      <w:r>
        <w:rPr>
          <w:rFonts w:ascii="Times New Roman" w:hAnsi="Times New Roman" w:cs="Times New Roman"/>
          <w:sz w:val="20"/>
          <w:szCs w:val="20"/>
        </w:rPr>
        <w:t>2/14/</w:t>
      </w:r>
      <w:r w:rsidRPr="00E66CF8">
        <w:rPr>
          <w:rFonts w:ascii="Times New Roman" w:hAnsi="Times New Roman" w:cs="Times New Roman"/>
          <w:sz w:val="20"/>
          <w:szCs w:val="20"/>
        </w:rPr>
        <w:t>1990 – 301/87,</w:t>
      </w:r>
      <w:r>
        <w:rPr>
          <w:rFonts w:ascii="Times New Roman" w:hAnsi="Times New Roman" w:cs="Times New Roman"/>
          <w:sz w:val="20"/>
          <w:szCs w:val="20"/>
        </w:rPr>
        <w:t xml:space="preserve"> ECR</w:t>
      </w:r>
      <w:r w:rsidRPr="00E66CF8">
        <w:rPr>
          <w:rFonts w:ascii="Times New Roman" w:hAnsi="Times New Roman" w:cs="Times New Roman"/>
          <w:sz w:val="20"/>
          <w:szCs w:val="20"/>
        </w:rPr>
        <w:t xml:space="preserve"> 1990, I-307 </w:t>
      </w:r>
      <w:proofErr w:type="spellStart"/>
      <w:r>
        <w:rPr>
          <w:rFonts w:ascii="Times New Roman" w:hAnsi="Times New Roman" w:cs="Times New Roman"/>
          <w:sz w:val="20"/>
          <w:szCs w:val="20"/>
        </w:rPr>
        <w:t>no</w:t>
      </w:r>
      <w:proofErr w:type="spellEnd"/>
      <w:r w:rsidRPr="00E66CF8">
        <w:rPr>
          <w:rFonts w:ascii="Times New Roman" w:hAnsi="Times New Roman" w:cs="Times New Roman"/>
          <w:sz w:val="20"/>
          <w:szCs w:val="20"/>
        </w:rPr>
        <w:t xml:space="preserve">. 15 – </w:t>
      </w:r>
      <w:proofErr w:type="spellStart"/>
      <w:r w:rsidRPr="00E66CF8">
        <w:rPr>
          <w:rFonts w:ascii="Times New Roman" w:hAnsi="Times New Roman" w:cs="Times New Roman"/>
          <w:sz w:val="20"/>
          <w:szCs w:val="20"/>
        </w:rPr>
        <w:t>Boussac</w:t>
      </w:r>
      <w:proofErr w:type="spellEnd"/>
      <w:r w:rsidRPr="00E66CF8">
        <w:rPr>
          <w:rFonts w:ascii="Times New Roman" w:hAnsi="Times New Roman" w:cs="Times New Roman"/>
          <w:sz w:val="20"/>
          <w:szCs w:val="20"/>
        </w:rPr>
        <w:t xml:space="preserve">; </w:t>
      </w:r>
      <w:r>
        <w:rPr>
          <w:rFonts w:ascii="Times New Roman" w:hAnsi="Times New Roman" w:cs="Times New Roman"/>
          <w:sz w:val="20"/>
          <w:szCs w:val="20"/>
        </w:rPr>
        <w:t>7/11/</w:t>
      </w:r>
      <w:r w:rsidRPr="00E66CF8">
        <w:rPr>
          <w:rFonts w:ascii="Times New Roman" w:hAnsi="Times New Roman" w:cs="Times New Roman"/>
          <w:sz w:val="20"/>
          <w:szCs w:val="20"/>
        </w:rPr>
        <w:t xml:space="preserve">1996 – C-39/94, </w:t>
      </w:r>
      <w:r>
        <w:rPr>
          <w:rFonts w:ascii="Times New Roman" w:hAnsi="Times New Roman" w:cs="Times New Roman"/>
          <w:sz w:val="20"/>
          <w:szCs w:val="20"/>
        </w:rPr>
        <w:t>ECR</w:t>
      </w:r>
      <w:r w:rsidRPr="00E66CF8">
        <w:rPr>
          <w:rFonts w:ascii="Times New Roman" w:hAnsi="Times New Roman" w:cs="Times New Roman"/>
          <w:sz w:val="20"/>
          <w:szCs w:val="20"/>
        </w:rPr>
        <w:t xml:space="preserve"> 1996, I-3547 </w:t>
      </w:r>
      <w:proofErr w:type="spellStart"/>
      <w:r>
        <w:rPr>
          <w:rFonts w:ascii="Times New Roman" w:hAnsi="Times New Roman" w:cs="Times New Roman"/>
          <w:sz w:val="20"/>
          <w:szCs w:val="20"/>
        </w:rPr>
        <w:t>no</w:t>
      </w:r>
      <w:proofErr w:type="spellEnd"/>
      <w:r w:rsidRPr="00E66CF8">
        <w:rPr>
          <w:rFonts w:ascii="Times New Roman" w:hAnsi="Times New Roman" w:cs="Times New Roman"/>
          <w:sz w:val="20"/>
          <w:szCs w:val="20"/>
        </w:rPr>
        <w:t xml:space="preserve">. 36 – SFEI; </w:t>
      </w:r>
      <w:proofErr w:type="spellStart"/>
      <w:r w:rsidRPr="00E66CF8">
        <w:rPr>
          <w:rFonts w:ascii="Times New Roman" w:hAnsi="Times New Roman" w:cs="Times New Roman"/>
          <w:sz w:val="20"/>
          <w:szCs w:val="20"/>
        </w:rPr>
        <w:t>s</w:t>
      </w:r>
      <w:r>
        <w:rPr>
          <w:rFonts w:ascii="Times New Roman" w:hAnsi="Times New Roman" w:cs="Times New Roman"/>
          <w:sz w:val="20"/>
          <w:szCs w:val="20"/>
        </w:rPr>
        <w:t>ee</w:t>
      </w:r>
      <w:proofErr w:type="spellEnd"/>
      <w:r>
        <w:rPr>
          <w:rFonts w:ascii="Times New Roman" w:hAnsi="Times New Roman" w:cs="Times New Roman"/>
          <w:sz w:val="20"/>
          <w:szCs w:val="20"/>
        </w:rPr>
        <w:t xml:space="preserve"> also</w:t>
      </w:r>
      <w:r w:rsidRPr="00E66CF8">
        <w:rPr>
          <w:rFonts w:ascii="Times New Roman" w:hAnsi="Times New Roman" w:cs="Times New Roman"/>
          <w:sz w:val="20"/>
          <w:szCs w:val="20"/>
        </w:rPr>
        <w:t xml:space="preserve"> </w:t>
      </w:r>
      <w:proofErr w:type="spellStart"/>
      <w:r w:rsidRPr="00E66CF8">
        <w:rPr>
          <w:rFonts w:ascii="Times New Roman" w:hAnsi="Times New Roman" w:cs="Times New Roman"/>
          <w:i/>
          <w:sz w:val="20"/>
          <w:szCs w:val="20"/>
        </w:rPr>
        <w:t>Mestmäcker</w:t>
      </w:r>
      <w:proofErr w:type="spellEnd"/>
      <w:r w:rsidRPr="00E66CF8">
        <w:rPr>
          <w:rFonts w:ascii="Times New Roman" w:hAnsi="Times New Roman" w:cs="Times New Roman"/>
          <w:i/>
          <w:sz w:val="20"/>
          <w:szCs w:val="20"/>
        </w:rPr>
        <w:t>/Schweitzer</w:t>
      </w:r>
      <w:r w:rsidRPr="00C16167">
        <w:rPr>
          <w:rFonts w:ascii="Times New Roman" w:hAnsi="Times New Roman" w:cs="Times New Roman"/>
          <w:sz w:val="20"/>
          <w:szCs w:val="20"/>
        </w:rPr>
        <w:t>,</w:t>
      </w:r>
      <w:r w:rsidRPr="00E66CF8">
        <w:rPr>
          <w:rFonts w:ascii="Times New Roman" w:hAnsi="Times New Roman" w:cs="Times New Roman"/>
          <w:sz w:val="20"/>
          <w:szCs w:val="20"/>
        </w:rPr>
        <w:t xml:space="preserve"> in </w:t>
      </w:r>
      <w:proofErr w:type="spellStart"/>
      <w:r w:rsidRPr="00E66CF8">
        <w:rPr>
          <w:rFonts w:ascii="Times New Roman" w:hAnsi="Times New Roman" w:cs="Times New Roman"/>
          <w:sz w:val="20"/>
          <w:szCs w:val="20"/>
        </w:rPr>
        <w:t>Immenga</w:t>
      </w:r>
      <w:proofErr w:type="spellEnd"/>
      <w:r w:rsidRPr="00E66CF8">
        <w:rPr>
          <w:rFonts w:ascii="Times New Roman" w:hAnsi="Times New Roman" w:cs="Times New Roman"/>
          <w:sz w:val="20"/>
          <w:szCs w:val="20"/>
        </w:rPr>
        <w:t>/</w:t>
      </w:r>
      <w:proofErr w:type="spellStart"/>
      <w:r w:rsidRPr="00E66CF8">
        <w:rPr>
          <w:rFonts w:ascii="Times New Roman" w:hAnsi="Times New Roman" w:cs="Times New Roman"/>
          <w:sz w:val="20"/>
          <w:szCs w:val="20"/>
        </w:rPr>
        <w:t>Mestmäcker</w:t>
      </w:r>
      <w:proofErr w:type="spellEnd"/>
      <w:r w:rsidRPr="00E66CF8">
        <w:rPr>
          <w:rFonts w:ascii="Times New Roman" w:hAnsi="Times New Roman" w:cs="Times New Roman"/>
          <w:sz w:val="20"/>
          <w:szCs w:val="20"/>
        </w:rPr>
        <w:t xml:space="preserve">, Wettbewerbsrecht </w:t>
      </w:r>
      <w:r>
        <w:rPr>
          <w:rFonts w:ascii="Times New Roman" w:hAnsi="Times New Roman" w:cs="Times New Roman"/>
          <w:sz w:val="20"/>
          <w:szCs w:val="20"/>
        </w:rPr>
        <w:t>vol</w:t>
      </w:r>
      <w:r w:rsidRPr="00E66CF8">
        <w:rPr>
          <w:rFonts w:ascii="Times New Roman" w:hAnsi="Times New Roman" w:cs="Times New Roman"/>
          <w:sz w:val="20"/>
          <w:szCs w:val="20"/>
        </w:rPr>
        <w:t xml:space="preserve">. </w:t>
      </w:r>
      <w:proofErr w:type="gramStart"/>
      <w:r w:rsidRPr="00C16167">
        <w:rPr>
          <w:rFonts w:ascii="Times New Roman" w:hAnsi="Times New Roman" w:cs="Times New Roman"/>
          <w:sz w:val="20"/>
          <w:szCs w:val="20"/>
          <w:lang w:val="en-US"/>
        </w:rPr>
        <w:t>3, 5</w:t>
      </w:r>
      <w:r w:rsidRPr="00C16167">
        <w:rPr>
          <w:rFonts w:ascii="Times New Roman" w:hAnsi="Times New Roman" w:cs="Times New Roman"/>
          <w:sz w:val="20"/>
          <w:szCs w:val="20"/>
          <w:vertAlign w:val="superscript"/>
          <w:lang w:val="en-US"/>
        </w:rPr>
        <w:t>th</w:t>
      </w:r>
      <w:r>
        <w:rPr>
          <w:rFonts w:ascii="Times New Roman" w:hAnsi="Times New Roman" w:cs="Times New Roman"/>
          <w:sz w:val="20"/>
          <w:szCs w:val="20"/>
          <w:lang w:val="en-US"/>
        </w:rPr>
        <w:t xml:space="preserve"> ed</w:t>
      </w:r>
      <w:r w:rsidRPr="00C16167">
        <w:rPr>
          <w:rFonts w:ascii="Times New Roman" w:hAnsi="Times New Roman" w:cs="Times New Roman"/>
          <w:sz w:val="20"/>
          <w:szCs w:val="20"/>
          <w:lang w:val="en-US"/>
        </w:rPr>
        <w:t xml:space="preserve">. 2016, </w:t>
      </w:r>
      <w:r>
        <w:rPr>
          <w:rFonts w:ascii="Times New Roman" w:hAnsi="Times New Roman" w:cs="Times New Roman"/>
          <w:sz w:val="20"/>
          <w:szCs w:val="20"/>
          <w:lang w:val="en-US"/>
        </w:rPr>
        <w:t>Introduction Sect.</w:t>
      </w:r>
      <w:r w:rsidRPr="00C16167">
        <w:rPr>
          <w:rFonts w:ascii="Times New Roman" w:hAnsi="Times New Roman" w:cs="Times New Roman"/>
          <w:sz w:val="20"/>
          <w:szCs w:val="20"/>
          <w:lang w:val="en-US"/>
        </w:rPr>
        <w:t xml:space="preserve"> A. </w:t>
      </w:r>
      <w:r>
        <w:rPr>
          <w:rFonts w:ascii="Times New Roman" w:hAnsi="Times New Roman" w:cs="Times New Roman"/>
          <w:sz w:val="20"/>
          <w:szCs w:val="20"/>
          <w:lang w:val="en-US"/>
        </w:rPr>
        <w:t>no</w:t>
      </w:r>
      <w:r w:rsidRPr="00C16167">
        <w:rPr>
          <w:rFonts w:ascii="Times New Roman" w:hAnsi="Times New Roman" w:cs="Times New Roman"/>
          <w:sz w:val="20"/>
          <w:szCs w:val="20"/>
          <w:lang w:val="en-US"/>
        </w:rPr>
        <w:t xml:space="preserve">. 5; </w:t>
      </w:r>
      <w:proofErr w:type="spellStart"/>
      <w:r w:rsidRPr="00C16167">
        <w:rPr>
          <w:rFonts w:ascii="Times New Roman" w:hAnsi="Times New Roman" w:cs="Times New Roman"/>
          <w:i/>
          <w:sz w:val="20"/>
          <w:szCs w:val="20"/>
          <w:lang w:val="en-US"/>
        </w:rPr>
        <w:t>Ludwigs</w:t>
      </w:r>
      <w:proofErr w:type="spellEnd"/>
      <w:r w:rsidRPr="00C16167">
        <w:rPr>
          <w:rFonts w:ascii="Times New Roman" w:hAnsi="Times New Roman" w:cs="Times New Roman"/>
          <w:sz w:val="20"/>
          <w:szCs w:val="20"/>
          <w:lang w:val="en-US"/>
        </w:rPr>
        <w:t>,</w:t>
      </w:r>
      <w:r w:rsidRPr="00C16167">
        <w:rPr>
          <w:rFonts w:ascii="Times New Roman" w:hAnsi="Times New Roman" w:cs="Times New Roman"/>
          <w:i/>
          <w:sz w:val="20"/>
          <w:szCs w:val="20"/>
          <w:lang w:val="en-US"/>
        </w:rPr>
        <w:t xml:space="preserve"> </w:t>
      </w:r>
      <w:r w:rsidRPr="00C16167">
        <w:rPr>
          <w:rFonts w:ascii="Times New Roman" w:hAnsi="Times New Roman" w:cs="Times New Roman"/>
          <w:sz w:val="20"/>
          <w:szCs w:val="20"/>
          <w:lang w:val="en-US"/>
        </w:rPr>
        <w:t xml:space="preserve">in </w:t>
      </w:r>
      <w:proofErr w:type="spellStart"/>
      <w:r w:rsidRPr="00C16167">
        <w:rPr>
          <w:rFonts w:ascii="Times New Roman" w:hAnsi="Times New Roman" w:cs="Times New Roman"/>
          <w:sz w:val="20"/>
          <w:szCs w:val="20"/>
          <w:lang w:val="en-US"/>
        </w:rPr>
        <w:t>Mü</w:t>
      </w:r>
      <w:r>
        <w:rPr>
          <w:rFonts w:ascii="Times New Roman" w:hAnsi="Times New Roman" w:cs="Times New Roman"/>
          <w:sz w:val="20"/>
          <w:szCs w:val="20"/>
          <w:lang w:val="en-US"/>
        </w:rPr>
        <w:t>n</w:t>
      </w:r>
      <w:r>
        <w:rPr>
          <w:rFonts w:ascii="Times New Roman" w:hAnsi="Times New Roman" w:cs="Times New Roman"/>
          <w:sz w:val="20"/>
          <w:szCs w:val="20"/>
          <w:lang w:val="en-US"/>
        </w:rPr>
        <w:t>chener</w:t>
      </w:r>
      <w:proofErr w:type="spellEnd"/>
      <w:r>
        <w:rPr>
          <w:rFonts w:ascii="Times New Roman" w:hAnsi="Times New Roman" w:cs="Times New Roman"/>
          <w:sz w:val="20"/>
          <w:szCs w:val="20"/>
          <w:lang w:val="en-US"/>
        </w:rPr>
        <w:t xml:space="preserve"> </w:t>
      </w:r>
      <w:proofErr w:type="spellStart"/>
      <w:r w:rsidRPr="00C16167">
        <w:rPr>
          <w:rFonts w:ascii="Times New Roman" w:hAnsi="Times New Roman" w:cs="Times New Roman"/>
          <w:sz w:val="20"/>
          <w:szCs w:val="20"/>
          <w:lang w:val="en-US"/>
        </w:rPr>
        <w:t>Ko</w:t>
      </w:r>
      <w:r>
        <w:rPr>
          <w:rFonts w:ascii="Times New Roman" w:hAnsi="Times New Roman" w:cs="Times New Roman"/>
          <w:sz w:val="20"/>
          <w:szCs w:val="20"/>
          <w:lang w:val="en-US"/>
        </w:rPr>
        <w:t>mmentar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zum</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Kartellrecht</w:t>
      </w:r>
      <w:proofErr w:type="spellEnd"/>
      <w:r w:rsidRPr="00C16167">
        <w:rPr>
          <w:rFonts w:ascii="Times New Roman" w:hAnsi="Times New Roman" w:cs="Times New Roman"/>
          <w:sz w:val="20"/>
          <w:szCs w:val="20"/>
          <w:lang w:val="en-US"/>
        </w:rPr>
        <w:t xml:space="preserve"> </w:t>
      </w:r>
      <w:r>
        <w:rPr>
          <w:rFonts w:ascii="Times New Roman" w:hAnsi="Times New Roman" w:cs="Times New Roman"/>
          <w:sz w:val="20"/>
          <w:szCs w:val="20"/>
          <w:lang w:val="en-US"/>
        </w:rPr>
        <w:t>vol</w:t>
      </w:r>
      <w:r w:rsidRPr="00C16167">
        <w:rPr>
          <w:rFonts w:ascii="Times New Roman" w:hAnsi="Times New Roman" w:cs="Times New Roman"/>
          <w:sz w:val="20"/>
          <w:szCs w:val="20"/>
          <w:lang w:val="en-US"/>
        </w:rPr>
        <w:t>. 5, 2</w:t>
      </w:r>
      <w:r w:rsidRPr="00C16167">
        <w:rPr>
          <w:rFonts w:ascii="Times New Roman" w:hAnsi="Times New Roman" w:cs="Times New Roman"/>
          <w:sz w:val="20"/>
          <w:szCs w:val="20"/>
          <w:vertAlign w:val="superscript"/>
          <w:lang w:val="en-US"/>
        </w:rPr>
        <w:t>nd</w:t>
      </w:r>
      <w:r>
        <w:rPr>
          <w:rFonts w:ascii="Times New Roman" w:hAnsi="Times New Roman" w:cs="Times New Roman"/>
          <w:sz w:val="20"/>
          <w:szCs w:val="20"/>
          <w:lang w:val="en-US"/>
        </w:rPr>
        <w:t xml:space="preserve"> ed</w:t>
      </w:r>
      <w:r w:rsidRPr="00C16167">
        <w:rPr>
          <w:rFonts w:ascii="Times New Roman" w:hAnsi="Times New Roman" w:cs="Times New Roman"/>
          <w:sz w:val="20"/>
          <w:szCs w:val="20"/>
          <w:lang w:val="en-US"/>
        </w:rPr>
        <w:t xml:space="preserve">. 2018, </w:t>
      </w:r>
      <w:r>
        <w:rPr>
          <w:rFonts w:ascii="Times New Roman" w:hAnsi="Times New Roman" w:cs="Times New Roman"/>
          <w:sz w:val="20"/>
          <w:szCs w:val="20"/>
          <w:lang w:val="en-US"/>
        </w:rPr>
        <w:t>TFEU</w:t>
      </w:r>
      <w:r w:rsidRPr="00C16167">
        <w:rPr>
          <w:rFonts w:ascii="Times New Roman" w:hAnsi="Times New Roman" w:cs="Times New Roman"/>
          <w:sz w:val="20"/>
          <w:szCs w:val="20"/>
          <w:lang w:val="en-US"/>
        </w:rPr>
        <w:t xml:space="preserve"> Art.</w:t>
      </w:r>
      <w:proofErr w:type="gramEnd"/>
      <w:r w:rsidRPr="00C16167">
        <w:rPr>
          <w:rFonts w:ascii="Times New Roman" w:hAnsi="Times New Roman" w:cs="Times New Roman"/>
          <w:sz w:val="20"/>
          <w:szCs w:val="20"/>
          <w:lang w:val="en-US"/>
        </w:rPr>
        <w:t xml:space="preserve"> 107 </w:t>
      </w:r>
      <w:r>
        <w:rPr>
          <w:rFonts w:ascii="Times New Roman" w:hAnsi="Times New Roman" w:cs="Times New Roman"/>
          <w:sz w:val="20"/>
          <w:szCs w:val="20"/>
          <w:lang w:val="en-US"/>
        </w:rPr>
        <w:t>nos</w:t>
      </w:r>
      <w:r w:rsidRPr="00C16167">
        <w:rPr>
          <w:rFonts w:ascii="Times New Roman" w:hAnsi="Times New Roman" w:cs="Times New Roman"/>
          <w:sz w:val="20"/>
          <w:szCs w:val="20"/>
          <w:lang w:val="en-US"/>
        </w:rPr>
        <w:t xml:space="preserve">. 47 </w:t>
      </w:r>
      <w:r>
        <w:rPr>
          <w:rFonts w:ascii="Times New Roman" w:hAnsi="Times New Roman" w:cs="Times New Roman"/>
          <w:sz w:val="20"/>
          <w:szCs w:val="20"/>
          <w:lang w:val="en-US"/>
        </w:rPr>
        <w:t>et seq</w:t>
      </w:r>
      <w:r w:rsidRPr="00C16167">
        <w:rPr>
          <w:rFonts w:ascii="Times New Roman" w:hAnsi="Times New Roman" w:cs="Times New Roman"/>
          <w:sz w:val="20"/>
          <w:szCs w:val="20"/>
          <w:lang w:val="en-US"/>
        </w:rPr>
        <w:t xml:space="preserve">.; </w:t>
      </w:r>
      <w:r>
        <w:rPr>
          <w:rFonts w:ascii="Times New Roman" w:hAnsi="Times New Roman" w:cs="Times New Roman"/>
          <w:sz w:val="20"/>
          <w:szCs w:val="20"/>
          <w:lang w:val="en-US"/>
        </w:rPr>
        <w:t>see above sub</w:t>
      </w:r>
      <w:r w:rsidRPr="00C16167">
        <w:rPr>
          <w:rFonts w:ascii="Times New Roman" w:hAnsi="Times New Roman" w:cs="Times New Roman"/>
          <w:sz w:val="20"/>
          <w:szCs w:val="20"/>
          <w:lang w:val="en-US"/>
        </w:rPr>
        <w:t xml:space="preserve"> I. 1.</w:t>
      </w:r>
    </w:p>
  </w:footnote>
  <w:footnote w:id="43">
    <w:p w14:paraId="2A0616A9" w14:textId="4E5DC45A" w:rsidR="00D13078" w:rsidRPr="00C16167" w:rsidRDefault="00D13078" w:rsidP="00781628">
      <w:pPr>
        <w:pStyle w:val="Funotentext"/>
        <w:suppressAutoHyphens/>
        <w:jc w:val="both"/>
        <w:rPr>
          <w:rFonts w:ascii="Times New Roman" w:hAnsi="Times New Roman" w:cs="Times New Roman"/>
          <w:sz w:val="20"/>
          <w:szCs w:val="20"/>
          <w:lang w:val="en-US"/>
        </w:rPr>
      </w:pPr>
      <w:r w:rsidRPr="00C16167">
        <w:rPr>
          <w:rStyle w:val="Funotenzeichen"/>
          <w:rFonts w:ascii="Times New Roman" w:hAnsi="Times New Roman" w:cs="Times New Roman"/>
          <w:sz w:val="20"/>
          <w:szCs w:val="20"/>
          <w:lang w:val="en-US"/>
        </w:rPr>
        <w:footnoteRef/>
      </w:r>
      <w:r w:rsidRPr="00C16167">
        <w:rPr>
          <w:rFonts w:ascii="Times New Roman" w:hAnsi="Times New Roman" w:cs="Times New Roman"/>
          <w:sz w:val="20"/>
          <w:szCs w:val="20"/>
          <w:lang w:val="en-US"/>
        </w:rPr>
        <w:t xml:space="preserve"> </w:t>
      </w:r>
      <w:r>
        <w:rPr>
          <w:rFonts w:ascii="Times New Roman" w:hAnsi="Times New Roman" w:cs="Times New Roman"/>
          <w:sz w:val="20"/>
          <w:szCs w:val="20"/>
          <w:lang w:val="en-US"/>
        </w:rPr>
        <w:t>Comp. GC</w:t>
      </w:r>
      <w:r w:rsidRPr="00C16167">
        <w:rPr>
          <w:rFonts w:ascii="Times New Roman" w:hAnsi="Times New Roman" w:cs="Times New Roman"/>
          <w:sz w:val="20"/>
          <w:szCs w:val="20"/>
          <w:lang w:val="en-US"/>
        </w:rPr>
        <w:t xml:space="preserve"> </w:t>
      </w:r>
      <w:r>
        <w:rPr>
          <w:rFonts w:ascii="Times New Roman" w:hAnsi="Times New Roman" w:cs="Times New Roman"/>
          <w:sz w:val="20"/>
          <w:szCs w:val="20"/>
          <w:lang w:val="en-US"/>
        </w:rPr>
        <w:t>9/15/</w:t>
      </w:r>
      <w:r w:rsidRPr="00C16167">
        <w:rPr>
          <w:rFonts w:ascii="Times New Roman" w:hAnsi="Times New Roman" w:cs="Times New Roman"/>
          <w:sz w:val="20"/>
          <w:szCs w:val="20"/>
          <w:lang w:val="en-US"/>
        </w:rPr>
        <w:t xml:space="preserve">2016 – T-220/13, </w:t>
      </w:r>
      <w:r>
        <w:rPr>
          <w:rFonts w:ascii="Times New Roman" w:hAnsi="Times New Roman" w:cs="Times New Roman"/>
          <w:sz w:val="20"/>
          <w:szCs w:val="20"/>
          <w:lang w:val="en-US"/>
        </w:rPr>
        <w:t>ECLI</w:t>
      </w:r>
      <w:proofErr w:type="gramStart"/>
      <w:r>
        <w:rPr>
          <w:rFonts w:ascii="Times New Roman" w:hAnsi="Times New Roman" w:cs="Times New Roman"/>
          <w:sz w:val="20"/>
          <w:szCs w:val="20"/>
          <w:lang w:val="en-US"/>
        </w:rPr>
        <w:t>:EU:T:2016:484</w:t>
      </w:r>
      <w:proofErr w:type="gramEnd"/>
      <w:r w:rsidRPr="00C16167">
        <w:rPr>
          <w:rFonts w:ascii="Times New Roman" w:hAnsi="Times New Roman" w:cs="Times New Roman"/>
          <w:sz w:val="20"/>
          <w:szCs w:val="20"/>
          <w:lang w:val="en-US"/>
        </w:rPr>
        <w:t xml:space="preserve"> </w:t>
      </w:r>
      <w:r>
        <w:rPr>
          <w:rFonts w:ascii="Times New Roman" w:hAnsi="Times New Roman" w:cs="Times New Roman"/>
          <w:sz w:val="20"/>
          <w:szCs w:val="20"/>
          <w:lang w:val="en-US"/>
        </w:rPr>
        <w:t>no</w:t>
      </w:r>
      <w:r w:rsidRPr="00C16167">
        <w:rPr>
          <w:rFonts w:ascii="Times New Roman" w:hAnsi="Times New Roman" w:cs="Times New Roman"/>
          <w:sz w:val="20"/>
          <w:szCs w:val="20"/>
          <w:lang w:val="en-US"/>
        </w:rPr>
        <w:t>. 40 – Montessori.</w:t>
      </w:r>
    </w:p>
  </w:footnote>
  <w:footnote w:id="44">
    <w:p w14:paraId="09D83B23" w14:textId="2D66F2C6" w:rsidR="00D13078" w:rsidRPr="00C16167" w:rsidRDefault="00D13078" w:rsidP="00781628">
      <w:pPr>
        <w:pStyle w:val="Funotentext"/>
        <w:jc w:val="both"/>
        <w:rPr>
          <w:rFonts w:ascii="Times New Roman" w:hAnsi="Times New Roman" w:cs="Times New Roman"/>
          <w:sz w:val="20"/>
          <w:szCs w:val="20"/>
          <w:lang w:val="en-US"/>
        </w:rPr>
      </w:pPr>
      <w:r w:rsidRPr="00C16167">
        <w:rPr>
          <w:rStyle w:val="Funotenzeichen"/>
          <w:rFonts w:ascii="Times New Roman" w:hAnsi="Times New Roman" w:cs="Times New Roman"/>
          <w:sz w:val="20"/>
          <w:szCs w:val="20"/>
          <w:lang w:val="en-US"/>
        </w:rPr>
        <w:footnoteRef/>
      </w:r>
      <w:r w:rsidRPr="00C16167">
        <w:rPr>
          <w:rFonts w:ascii="Times New Roman" w:hAnsi="Times New Roman" w:cs="Times New Roman"/>
          <w:sz w:val="20"/>
          <w:szCs w:val="20"/>
          <w:lang w:val="en-US"/>
        </w:rPr>
        <w:t xml:space="preserve"> E</w:t>
      </w:r>
      <w:r>
        <w:rPr>
          <w:rFonts w:ascii="Times New Roman" w:hAnsi="Times New Roman" w:cs="Times New Roman"/>
          <w:sz w:val="20"/>
          <w:szCs w:val="20"/>
          <w:lang w:val="en-US"/>
        </w:rPr>
        <w:t>CJ</w:t>
      </w:r>
      <w:r w:rsidRPr="00C16167">
        <w:rPr>
          <w:rFonts w:ascii="Times New Roman" w:hAnsi="Times New Roman" w:cs="Times New Roman"/>
          <w:sz w:val="20"/>
          <w:szCs w:val="20"/>
          <w:lang w:val="en-US"/>
        </w:rPr>
        <w:t xml:space="preserve"> </w:t>
      </w:r>
      <w:r>
        <w:rPr>
          <w:rFonts w:ascii="Times New Roman" w:hAnsi="Times New Roman" w:cs="Times New Roman"/>
          <w:sz w:val="20"/>
          <w:szCs w:val="20"/>
          <w:lang w:val="en-US"/>
        </w:rPr>
        <w:t>11/21/</w:t>
      </w:r>
      <w:r w:rsidRPr="00C16167">
        <w:rPr>
          <w:rFonts w:ascii="Times New Roman" w:hAnsi="Times New Roman" w:cs="Times New Roman"/>
          <w:sz w:val="20"/>
          <w:szCs w:val="20"/>
          <w:lang w:val="en-US"/>
        </w:rPr>
        <w:t xml:space="preserve">1991 – C-354/90, </w:t>
      </w:r>
      <w:r>
        <w:rPr>
          <w:rFonts w:ascii="Times New Roman" w:hAnsi="Times New Roman" w:cs="Times New Roman"/>
          <w:sz w:val="20"/>
          <w:szCs w:val="20"/>
          <w:lang w:val="en-US"/>
        </w:rPr>
        <w:t>ECR</w:t>
      </w:r>
      <w:r w:rsidRPr="00C16167">
        <w:rPr>
          <w:rFonts w:ascii="Times New Roman" w:hAnsi="Times New Roman" w:cs="Times New Roman"/>
          <w:sz w:val="20"/>
          <w:szCs w:val="20"/>
          <w:lang w:val="en-US"/>
        </w:rPr>
        <w:t xml:space="preserve"> 1991, I-5505 </w:t>
      </w:r>
      <w:r>
        <w:rPr>
          <w:rFonts w:ascii="Times New Roman" w:hAnsi="Times New Roman" w:cs="Times New Roman"/>
          <w:sz w:val="20"/>
          <w:szCs w:val="20"/>
          <w:lang w:val="en-US"/>
        </w:rPr>
        <w:t>no</w:t>
      </w:r>
      <w:r w:rsidRPr="00C16167">
        <w:rPr>
          <w:rFonts w:ascii="Times New Roman" w:hAnsi="Times New Roman" w:cs="Times New Roman"/>
          <w:sz w:val="20"/>
          <w:szCs w:val="20"/>
          <w:lang w:val="en-US"/>
        </w:rPr>
        <w:t xml:space="preserve">. 9 – FNCE; </w:t>
      </w:r>
      <w:r>
        <w:rPr>
          <w:rFonts w:ascii="Times New Roman" w:hAnsi="Times New Roman" w:cs="Times New Roman"/>
          <w:sz w:val="20"/>
          <w:szCs w:val="20"/>
          <w:lang w:val="en-US"/>
        </w:rPr>
        <w:t>10/27/</w:t>
      </w:r>
      <w:r w:rsidRPr="00C16167">
        <w:rPr>
          <w:rFonts w:ascii="Times New Roman" w:hAnsi="Times New Roman" w:cs="Times New Roman"/>
          <w:sz w:val="20"/>
          <w:szCs w:val="20"/>
          <w:lang w:val="en-US"/>
        </w:rPr>
        <w:t xml:space="preserve">1993 – C-72/92, </w:t>
      </w:r>
      <w:r>
        <w:rPr>
          <w:rFonts w:ascii="Times New Roman" w:hAnsi="Times New Roman" w:cs="Times New Roman"/>
          <w:sz w:val="20"/>
          <w:szCs w:val="20"/>
          <w:lang w:val="en-US"/>
        </w:rPr>
        <w:t>ECR</w:t>
      </w:r>
      <w:r w:rsidRPr="00C16167">
        <w:rPr>
          <w:rFonts w:ascii="Times New Roman" w:hAnsi="Times New Roman" w:cs="Times New Roman"/>
          <w:sz w:val="20"/>
          <w:szCs w:val="20"/>
          <w:lang w:val="en-US"/>
        </w:rPr>
        <w:t xml:space="preserve"> 1993, I-5509 </w:t>
      </w:r>
      <w:r>
        <w:rPr>
          <w:rFonts w:ascii="Times New Roman" w:hAnsi="Times New Roman" w:cs="Times New Roman"/>
          <w:sz w:val="20"/>
          <w:szCs w:val="20"/>
          <w:lang w:val="en-US"/>
        </w:rPr>
        <w:t>no</w:t>
      </w:r>
      <w:r w:rsidRPr="00C16167">
        <w:rPr>
          <w:rFonts w:ascii="Times New Roman" w:hAnsi="Times New Roman" w:cs="Times New Roman"/>
          <w:sz w:val="20"/>
          <w:szCs w:val="20"/>
          <w:lang w:val="en-US"/>
        </w:rPr>
        <w:t xml:space="preserve">. 19 – </w:t>
      </w:r>
      <w:proofErr w:type="spellStart"/>
      <w:r w:rsidRPr="00C16167">
        <w:rPr>
          <w:rFonts w:ascii="Times New Roman" w:hAnsi="Times New Roman" w:cs="Times New Roman"/>
          <w:sz w:val="20"/>
          <w:szCs w:val="20"/>
          <w:lang w:val="en-US"/>
        </w:rPr>
        <w:t>Scharbatke</w:t>
      </w:r>
      <w:proofErr w:type="spellEnd"/>
      <w:r w:rsidRPr="00C16167">
        <w:rPr>
          <w:rFonts w:ascii="Times New Roman" w:hAnsi="Times New Roman" w:cs="Times New Roman"/>
          <w:sz w:val="20"/>
          <w:szCs w:val="20"/>
          <w:lang w:val="en-US"/>
        </w:rPr>
        <w:t xml:space="preserve">; </w:t>
      </w:r>
      <w:r>
        <w:rPr>
          <w:rFonts w:ascii="Times New Roman" w:hAnsi="Times New Roman" w:cs="Times New Roman"/>
          <w:sz w:val="20"/>
          <w:szCs w:val="20"/>
          <w:lang w:val="en-US"/>
        </w:rPr>
        <w:t>4/23/</w:t>
      </w:r>
      <w:r w:rsidRPr="00C16167">
        <w:rPr>
          <w:rFonts w:ascii="Times New Roman" w:hAnsi="Times New Roman" w:cs="Times New Roman"/>
          <w:sz w:val="20"/>
          <w:szCs w:val="20"/>
          <w:lang w:val="en-US"/>
        </w:rPr>
        <w:t xml:space="preserve">2002 – C-234/99, </w:t>
      </w:r>
      <w:r>
        <w:rPr>
          <w:rFonts w:ascii="Times New Roman" w:hAnsi="Times New Roman" w:cs="Times New Roman"/>
          <w:sz w:val="20"/>
          <w:szCs w:val="20"/>
          <w:lang w:val="en-US"/>
        </w:rPr>
        <w:t>ECR</w:t>
      </w:r>
      <w:r w:rsidRPr="00C16167">
        <w:rPr>
          <w:rFonts w:ascii="Times New Roman" w:hAnsi="Times New Roman" w:cs="Times New Roman"/>
          <w:sz w:val="20"/>
          <w:szCs w:val="20"/>
          <w:lang w:val="en-US"/>
        </w:rPr>
        <w:t xml:space="preserve"> 2002, I-3657 </w:t>
      </w:r>
      <w:r>
        <w:rPr>
          <w:rFonts w:ascii="Times New Roman" w:hAnsi="Times New Roman" w:cs="Times New Roman"/>
          <w:sz w:val="20"/>
          <w:szCs w:val="20"/>
          <w:lang w:val="en-US"/>
        </w:rPr>
        <w:t>no</w:t>
      </w:r>
      <w:r w:rsidRPr="00C16167">
        <w:rPr>
          <w:rFonts w:ascii="Times New Roman" w:hAnsi="Times New Roman" w:cs="Times New Roman"/>
          <w:sz w:val="20"/>
          <w:szCs w:val="20"/>
          <w:lang w:val="en-US"/>
        </w:rPr>
        <w:t xml:space="preserve">. 53 – </w:t>
      </w:r>
      <w:proofErr w:type="spellStart"/>
      <w:r w:rsidRPr="00C16167">
        <w:rPr>
          <w:rFonts w:ascii="Times New Roman" w:hAnsi="Times New Roman" w:cs="Times New Roman"/>
          <w:sz w:val="20"/>
          <w:szCs w:val="20"/>
          <w:lang w:val="en-US"/>
        </w:rPr>
        <w:t>Nygård</w:t>
      </w:r>
      <w:proofErr w:type="spellEnd"/>
      <w:r w:rsidRPr="00C16167">
        <w:rPr>
          <w:rFonts w:ascii="Times New Roman" w:hAnsi="Times New Roman" w:cs="Times New Roman"/>
          <w:sz w:val="20"/>
          <w:szCs w:val="20"/>
          <w:lang w:val="en-US"/>
        </w:rPr>
        <w:t xml:space="preserve">; 21.10.2003 – C-261/01 </w:t>
      </w:r>
      <w:r>
        <w:rPr>
          <w:rFonts w:ascii="Times New Roman" w:hAnsi="Times New Roman" w:cs="Times New Roman"/>
          <w:sz w:val="20"/>
          <w:szCs w:val="20"/>
          <w:lang w:val="en-US"/>
        </w:rPr>
        <w:t>et al.</w:t>
      </w:r>
      <w:r w:rsidRPr="00C16167">
        <w:rPr>
          <w:rFonts w:ascii="Times New Roman" w:hAnsi="Times New Roman" w:cs="Times New Roman"/>
          <w:sz w:val="20"/>
          <w:szCs w:val="20"/>
          <w:lang w:val="en-US"/>
        </w:rPr>
        <w:t xml:space="preserve">, </w:t>
      </w:r>
      <w:r>
        <w:rPr>
          <w:rFonts w:ascii="Times New Roman" w:hAnsi="Times New Roman" w:cs="Times New Roman"/>
          <w:sz w:val="20"/>
          <w:szCs w:val="20"/>
          <w:lang w:val="en-US"/>
        </w:rPr>
        <w:t>ECR</w:t>
      </w:r>
      <w:r w:rsidRPr="00C16167">
        <w:rPr>
          <w:rFonts w:ascii="Times New Roman" w:hAnsi="Times New Roman" w:cs="Times New Roman"/>
          <w:sz w:val="20"/>
          <w:szCs w:val="20"/>
          <w:lang w:val="en-US"/>
        </w:rPr>
        <w:t xml:space="preserve"> 2003, I-12249 </w:t>
      </w:r>
      <w:r>
        <w:rPr>
          <w:rFonts w:ascii="Times New Roman" w:hAnsi="Times New Roman" w:cs="Times New Roman"/>
          <w:sz w:val="20"/>
          <w:szCs w:val="20"/>
          <w:lang w:val="en-US"/>
        </w:rPr>
        <w:t>no</w:t>
      </w:r>
      <w:r w:rsidRPr="00C16167">
        <w:rPr>
          <w:rFonts w:ascii="Times New Roman" w:hAnsi="Times New Roman" w:cs="Times New Roman"/>
          <w:sz w:val="20"/>
          <w:szCs w:val="20"/>
          <w:lang w:val="en-US"/>
        </w:rPr>
        <w:t xml:space="preserve">. 45 – </w:t>
      </w:r>
      <w:r>
        <w:rPr>
          <w:rFonts w:ascii="Times New Roman" w:hAnsi="Times New Roman" w:cs="Times New Roman"/>
          <w:sz w:val="20"/>
          <w:szCs w:val="20"/>
          <w:lang w:val="en-US"/>
        </w:rPr>
        <w:t>V</w:t>
      </w:r>
      <w:r w:rsidRPr="00C16167">
        <w:rPr>
          <w:rFonts w:ascii="Times New Roman" w:hAnsi="Times New Roman" w:cs="Times New Roman"/>
          <w:sz w:val="20"/>
          <w:szCs w:val="20"/>
          <w:lang w:val="en-US"/>
        </w:rPr>
        <w:t xml:space="preserve">an </w:t>
      </w:r>
      <w:proofErr w:type="spellStart"/>
      <w:r w:rsidRPr="00C16167">
        <w:rPr>
          <w:rFonts w:ascii="Times New Roman" w:hAnsi="Times New Roman" w:cs="Times New Roman"/>
          <w:sz w:val="20"/>
          <w:szCs w:val="20"/>
          <w:lang w:val="en-US"/>
        </w:rPr>
        <w:t>Calster</w:t>
      </w:r>
      <w:proofErr w:type="spellEnd"/>
      <w:r w:rsidRPr="00C16167">
        <w:rPr>
          <w:rFonts w:ascii="Times New Roman" w:hAnsi="Times New Roman" w:cs="Times New Roman"/>
          <w:sz w:val="20"/>
          <w:szCs w:val="20"/>
          <w:lang w:val="en-US"/>
        </w:rPr>
        <w:t xml:space="preserve">; </w:t>
      </w:r>
      <w:r>
        <w:rPr>
          <w:rFonts w:ascii="Times New Roman" w:hAnsi="Times New Roman" w:cs="Times New Roman"/>
          <w:sz w:val="20"/>
          <w:szCs w:val="20"/>
          <w:lang w:val="en-US"/>
        </w:rPr>
        <w:t>6/30/</w:t>
      </w:r>
      <w:r w:rsidRPr="00C16167">
        <w:rPr>
          <w:rFonts w:ascii="Times New Roman" w:hAnsi="Times New Roman" w:cs="Times New Roman"/>
          <w:sz w:val="20"/>
          <w:szCs w:val="20"/>
          <w:lang w:val="en-US"/>
        </w:rPr>
        <w:t xml:space="preserve">2006 – C-451/03, </w:t>
      </w:r>
      <w:r>
        <w:rPr>
          <w:rFonts w:ascii="Times New Roman" w:hAnsi="Times New Roman" w:cs="Times New Roman"/>
          <w:sz w:val="20"/>
          <w:szCs w:val="20"/>
          <w:lang w:val="en-US"/>
        </w:rPr>
        <w:t>ECR</w:t>
      </w:r>
      <w:r w:rsidRPr="00C16167">
        <w:rPr>
          <w:rFonts w:ascii="Times New Roman" w:hAnsi="Times New Roman" w:cs="Times New Roman"/>
          <w:sz w:val="20"/>
          <w:szCs w:val="20"/>
          <w:lang w:val="en-US"/>
        </w:rPr>
        <w:t xml:space="preserve"> 2006, I-2941 </w:t>
      </w:r>
      <w:r>
        <w:rPr>
          <w:rFonts w:ascii="Times New Roman" w:hAnsi="Times New Roman" w:cs="Times New Roman"/>
          <w:sz w:val="20"/>
          <w:szCs w:val="20"/>
          <w:lang w:val="en-US"/>
        </w:rPr>
        <w:t>no</w:t>
      </w:r>
      <w:r w:rsidRPr="00C16167">
        <w:rPr>
          <w:rFonts w:ascii="Times New Roman" w:hAnsi="Times New Roman" w:cs="Times New Roman"/>
          <w:sz w:val="20"/>
          <w:szCs w:val="20"/>
          <w:lang w:val="en-US"/>
        </w:rPr>
        <w:t xml:space="preserve">. 71 – </w:t>
      </w:r>
      <w:proofErr w:type="spellStart"/>
      <w:r w:rsidRPr="00C16167">
        <w:rPr>
          <w:rFonts w:ascii="Times New Roman" w:hAnsi="Times New Roman" w:cs="Times New Roman"/>
          <w:sz w:val="20"/>
          <w:szCs w:val="20"/>
          <w:lang w:val="en-US"/>
        </w:rPr>
        <w:t>Servizi</w:t>
      </w:r>
      <w:proofErr w:type="spellEnd"/>
      <w:r w:rsidRPr="00C16167">
        <w:rPr>
          <w:rFonts w:ascii="Times New Roman" w:hAnsi="Times New Roman" w:cs="Times New Roman"/>
          <w:sz w:val="20"/>
          <w:szCs w:val="20"/>
          <w:lang w:val="en-US"/>
        </w:rPr>
        <w:t xml:space="preserve"> </w:t>
      </w:r>
      <w:proofErr w:type="spellStart"/>
      <w:r w:rsidRPr="00C16167">
        <w:rPr>
          <w:rFonts w:ascii="Times New Roman" w:hAnsi="Times New Roman" w:cs="Times New Roman"/>
          <w:sz w:val="20"/>
          <w:szCs w:val="20"/>
          <w:lang w:val="en-US"/>
        </w:rPr>
        <w:t>Ausiliari</w:t>
      </w:r>
      <w:proofErr w:type="spellEnd"/>
      <w:r w:rsidRPr="00C16167">
        <w:rPr>
          <w:rFonts w:ascii="Times New Roman" w:hAnsi="Times New Roman" w:cs="Times New Roman"/>
          <w:sz w:val="20"/>
          <w:szCs w:val="20"/>
          <w:lang w:val="en-US"/>
        </w:rPr>
        <w:t xml:space="preserve">; </w:t>
      </w:r>
      <w:proofErr w:type="spellStart"/>
      <w:r w:rsidRPr="00C16167">
        <w:rPr>
          <w:rFonts w:ascii="Times New Roman" w:hAnsi="Times New Roman" w:cs="Times New Roman"/>
          <w:i/>
          <w:sz w:val="20"/>
          <w:szCs w:val="20"/>
          <w:lang w:val="en-US"/>
        </w:rPr>
        <w:t>Ludwigs</w:t>
      </w:r>
      <w:proofErr w:type="spellEnd"/>
      <w:r w:rsidRPr="00DF7DCE">
        <w:rPr>
          <w:rFonts w:ascii="Times New Roman" w:hAnsi="Times New Roman" w:cs="Times New Roman"/>
          <w:sz w:val="20"/>
          <w:szCs w:val="20"/>
          <w:lang w:val="en-US"/>
        </w:rPr>
        <w:t>,</w:t>
      </w:r>
      <w:r w:rsidRPr="00C16167">
        <w:rPr>
          <w:rFonts w:ascii="Times New Roman" w:hAnsi="Times New Roman" w:cs="Times New Roman"/>
          <w:sz w:val="20"/>
          <w:szCs w:val="20"/>
          <w:lang w:val="en-US"/>
        </w:rPr>
        <w:t xml:space="preserve"> in </w:t>
      </w:r>
      <w:proofErr w:type="spellStart"/>
      <w:r w:rsidRPr="00C16167">
        <w:rPr>
          <w:rFonts w:ascii="Times New Roman" w:hAnsi="Times New Roman" w:cs="Times New Roman"/>
          <w:sz w:val="20"/>
          <w:szCs w:val="20"/>
          <w:lang w:val="en-US"/>
        </w:rPr>
        <w:t>Mü</w:t>
      </w:r>
      <w:r>
        <w:rPr>
          <w:rFonts w:ascii="Times New Roman" w:hAnsi="Times New Roman" w:cs="Times New Roman"/>
          <w:sz w:val="20"/>
          <w:szCs w:val="20"/>
          <w:lang w:val="en-US"/>
        </w:rPr>
        <w:t>nchener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Kommentar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zum</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Kartellrecht</w:t>
      </w:r>
      <w:proofErr w:type="spellEnd"/>
      <w:r w:rsidRPr="00C16167">
        <w:rPr>
          <w:rFonts w:ascii="Times New Roman" w:hAnsi="Times New Roman" w:cs="Times New Roman"/>
          <w:sz w:val="20"/>
          <w:szCs w:val="20"/>
          <w:lang w:val="en-US"/>
        </w:rPr>
        <w:t xml:space="preserve"> </w:t>
      </w:r>
      <w:r>
        <w:rPr>
          <w:rFonts w:ascii="Times New Roman" w:hAnsi="Times New Roman" w:cs="Times New Roman"/>
          <w:sz w:val="20"/>
          <w:szCs w:val="20"/>
          <w:lang w:val="en-US"/>
        </w:rPr>
        <w:t>vol</w:t>
      </w:r>
      <w:r w:rsidRPr="00C16167">
        <w:rPr>
          <w:rFonts w:ascii="Times New Roman" w:hAnsi="Times New Roman" w:cs="Times New Roman"/>
          <w:sz w:val="20"/>
          <w:szCs w:val="20"/>
          <w:lang w:val="en-US"/>
        </w:rPr>
        <w:t>. 5, 2</w:t>
      </w:r>
      <w:r w:rsidRPr="00DF7DCE">
        <w:rPr>
          <w:rFonts w:ascii="Times New Roman" w:hAnsi="Times New Roman" w:cs="Times New Roman"/>
          <w:sz w:val="20"/>
          <w:szCs w:val="20"/>
          <w:vertAlign w:val="superscript"/>
          <w:lang w:val="en-US"/>
        </w:rPr>
        <w:t>nd</w:t>
      </w:r>
      <w:r>
        <w:rPr>
          <w:rFonts w:ascii="Times New Roman" w:hAnsi="Times New Roman" w:cs="Times New Roman"/>
          <w:sz w:val="20"/>
          <w:szCs w:val="20"/>
          <w:lang w:val="en-US"/>
        </w:rPr>
        <w:t xml:space="preserve"> ed.</w:t>
      </w:r>
      <w:r w:rsidRPr="00C16167">
        <w:rPr>
          <w:rFonts w:ascii="Times New Roman" w:hAnsi="Times New Roman" w:cs="Times New Roman"/>
          <w:sz w:val="20"/>
          <w:szCs w:val="20"/>
          <w:lang w:val="en-US"/>
        </w:rPr>
        <w:t xml:space="preserve"> 2018, </w:t>
      </w:r>
      <w:r>
        <w:rPr>
          <w:rFonts w:ascii="Times New Roman" w:hAnsi="Times New Roman" w:cs="Times New Roman"/>
          <w:sz w:val="20"/>
          <w:szCs w:val="20"/>
          <w:lang w:val="en-US"/>
        </w:rPr>
        <w:t>TFEU</w:t>
      </w:r>
      <w:r w:rsidRPr="00C16167">
        <w:rPr>
          <w:rFonts w:ascii="Times New Roman" w:hAnsi="Times New Roman" w:cs="Times New Roman"/>
          <w:sz w:val="20"/>
          <w:szCs w:val="20"/>
          <w:lang w:val="en-US"/>
        </w:rPr>
        <w:t xml:space="preserve"> Art. </w:t>
      </w:r>
      <w:proofErr w:type="gramStart"/>
      <w:r w:rsidRPr="00C16167">
        <w:rPr>
          <w:rFonts w:ascii="Times New Roman" w:hAnsi="Times New Roman" w:cs="Times New Roman"/>
          <w:sz w:val="20"/>
          <w:szCs w:val="20"/>
          <w:lang w:val="en-US"/>
        </w:rPr>
        <w:t xml:space="preserve">107 </w:t>
      </w:r>
      <w:r>
        <w:rPr>
          <w:rFonts w:ascii="Times New Roman" w:hAnsi="Times New Roman" w:cs="Times New Roman"/>
          <w:sz w:val="20"/>
          <w:szCs w:val="20"/>
          <w:lang w:val="en-US"/>
        </w:rPr>
        <w:t>no</w:t>
      </w:r>
      <w:r w:rsidRPr="00C16167">
        <w:rPr>
          <w:rFonts w:ascii="Times New Roman" w:hAnsi="Times New Roman" w:cs="Times New Roman"/>
          <w:sz w:val="20"/>
          <w:szCs w:val="20"/>
          <w:lang w:val="en-US"/>
        </w:rPr>
        <w:t xml:space="preserve">. 47; </w:t>
      </w:r>
      <w:proofErr w:type="spellStart"/>
      <w:r w:rsidRPr="00C16167">
        <w:rPr>
          <w:rFonts w:ascii="Times New Roman" w:hAnsi="Times New Roman" w:cs="Times New Roman"/>
          <w:i/>
          <w:sz w:val="20"/>
          <w:szCs w:val="20"/>
          <w:lang w:val="en-US"/>
        </w:rPr>
        <w:t>Bartosch</w:t>
      </w:r>
      <w:proofErr w:type="spellEnd"/>
      <w:r w:rsidRPr="00DF7DCE">
        <w:rPr>
          <w:rFonts w:ascii="Times New Roman" w:hAnsi="Times New Roman" w:cs="Times New Roman"/>
          <w:sz w:val="20"/>
          <w:szCs w:val="20"/>
          <w:lang w:val="en-US"/>
        </w:rPr>
        <w:t>,</w:t>
      </w:r>
      <w:r w:rsidRPr="00C16167">
        <w:rPr>
          <w:rFonts w:ascii="Times New Roman" w:hAnsi="Times New Roman" w:cs="Times New Roman"/>
          <w:sz w:val="20"/>
          <w:szCs w:val="20"/>
          <w:lang w:val="en-US"/>
        </w:rPr>
        <w:t xml:space="preserve"> </w:t>
      </w:r>
      <w:proofErr w:type="spellStart"/>
      <w:r w:rsidRPr="00C16167">
        <w:rPr>
          <w:rFonts w:ascii="Times New Roman" w:hAnsi="Times New Roman" w:cs="Times New Roman"/>
          <w:sz w:val="20"/>
          <w:szCs w:val="20"/>
          <w:lang w:val="en-US"/>
        </w:rPr>
        <w:t>R</w:t>
      </w:r>
      <w:r>
        <w:rPr>
          <w:rFonts w:ascii="Times New Roman" w:hAnsi="Times New Roman" w:cs="Times New Roman"/>
          <w:sz w:val="20"/>
          <w:szCs w:val="20"/>
          <w:lang w:val="en-US"/>
        </w:rPr>
        <w:t>echt</w:t>
      </w:r>
      <w:proofErr w:type="spellEnd"/>
      <w:r>
        <w:rPr>
          <w:rFonts w:ascii="Times New Roman" w:hAnsi="Times New Roman" w:cs="Times New Roman"/>
          <w:sz w:val="20"/>
          <w:szCs w:val="20"/>
          <w:lang w:val="en-US"/>
        </w:rPr>
        <w:t xml:space="preserve"> der </w:t>
      </w:r>
      <w:proofErr w:type="spellStart"/>
      <w:r>
        <w:rPr>
          <w:rFonts w:ascii="Times New Roman" w:hAnsi="Times New Roman" w:cs="Times New Roman"/>
          <w:sz w:val="20"/>
          <w:szCs w:val="20"/>
          <w:lang w:val="en-US"/>
        </w:rPr>
        <w:t>Internationalen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Wirtschaft</w:t>
      </w:r>
      <w:proofErr w:type="spellEnd"/>
      <w:r w:rsidRPr="00C16167">
        <w:rPr>
          <w:rFonts w:ascii="Times New Roman" w:hAnsi="Times New Roman" w:cs="Times New Roman"/>
          <w:sz w:val="20"/>
          <w:szCs w:val="20"/>
          <w:lang w:val="en-US"/>
        </w:rPr>
        <w:t xml:space="preserve"> 2011, 577.</w:t>
      </w:r>
      <w:proofErr w:type="gramEnd"/>
    </w:p>
  </w:footnote>
  <w:footnote w:id="45">
    <w:p w14:paraId="31FC7C79" w14:textId="35419D4B" w:rsidR="00D13078" w:rsidRPr="00C16167" w:rsidRDefault="00D13078" w:rsidP="00781628">
      <w:pPr>
        <w:pStyle w:val="Funotentext"/>
        <w:jc w:val="both"/>
        <w:rPr>
          <w:rFonts w:ascii="Times New Roman" w:hAnsi="Times New Roman" w:cs="Times New Roman"/>
          <w:sz w:val="20"/>
          <w:szCs w:val="20"/>
          <w:lang w:val="en-US"/>
        </w:rPr>
      </w:pPr>
      <w:r w:rsidRPr="00C16167">
        <w:rPr>
          <w:rStyle w:val="Funotenzeichen"/>
          <w:rFonts w:ascii="Times New Roman" w:hAnsi="Times New Roman" w:cs="Times New Roman"/>
          <w:sz w:val="20"/>
          <w:szCs w:val="20"/>
          <w:lang w:val="en-US"/>
        </w:rPr>
        <w:footnoteRef/>
      </w:r>
      <w:r w:rsidRPr="00C16167">
        <w:rPr>
          <w:rFonts w:ascii="Times New Roman" w:hAnsi="Times New Roman" w:cs="Times New Roman"/>
          <w:sz w:val="20"/>
          <w:szCs w:val="20"/>
          <w:lang w:val="en-US"/>
        </w:rPr>
        <w:t xml:space="preserve"> </w:t>
      </w:r>
      <w:proofErr w:type="spellStart"/>
      <w:r w:rsidRPr="00C16167">
        <w:rPr>
          <w:rFonts w:ascii="Times New Roman" w:hAnsi="Times New Roman" w:cs="Times New Roman"/>
          <w:sz w:val="20"/>
          <w:szCs w:val="20"/>
          <w:lang w:val="en-US"/>
        </w:rPr>
        <w:t>EuGH</w:t>
      </w:r>
      <w:proofErr w:type="spellEnd"/>
      <w:r w:rsidRPr="00C16167">
        <w:rPr>
          <w:rFonts w:ascii="Times New Roman" w:hAnsi="Times New Roman" w:cs="Times New Roman"/>
          <w:sz w:val="20"/>
          <w:szCs w:val="20"/>
          <w:lang w:val="en-US"/>
        </w:rPr>
        <w:t xml:space="preserve"> </w:t>
      </w:r>
      <w:r>
        <w:rPr>
          <w:rFonts w:ascii="Times New Roman" w:hAnsi="Times New Roman" w:cs="Times New Roman"/>
          <w:sz w:val="20"/>
          <w:szCs w:val="20"/>
          <w:lang w:val="en-US"/>
        </w:rPr>
        <w:t>6/19/</w:t>
      </w:r>
      <w:r w:rsidRPr="00C16167">
        <w:rPr>
          <w:rFonts w:ascii="Times New Roman" w:hAnsi="Times New Roman" w:cs="Times New Roman"/>
          <w:sz w:val="20"/>
          <w:szCs w:val="20"/>
          <w:lang w:val="en-US"/>
        </w:rPr>
        <w:t xml:space="preserve">1973 – 77/72, </w:t>
      </w:r>
      <w:r>
        <w:rPr>
          <w:rFonts w:ascii="Times New Roman" w:hAnsi="Times New Roman" w:cs="Times New Roman"/>
          <w:sz w:val="20"/>
          <w:szCs w:val="20"/>
          <w:lang w:val="en-US"/>
        </w:rPr>
        <w:t>ECR</w:t>
      </w:r>
      <w:r w:rsidRPr="00C16167">
        <w:rPr>
          <w:rFonts w:ascii="Times New Roman" w:hAnsi="Times New Roman" w:cs="Times New Roman"/>
          <w:sz w:val="20"/>
          <w:szCs w:val="20"/>
          <w:lang w:val="en-US"/>
        </w:rPr>
        <w:t xml:space="preserve"> 1973, 611 </w:t>
      </w:r>
      <w:r>
        <w:rPr>
          <w:rFonts w:ascii="Times New Roman" w:hAnsi="Times New Roman" w:cs="Times New Roman"/>
          <w:sz w:val="20"/>
          <w:szCs w:val="20"/>
          <w:lang w:val="en-US"/>
        </w:rPr>
        <w:t>no</w:t>
      </w:r>
      <w:r w:rsidRPr="00C16167">
        <w:rPr>
          <w:rFonts w:ascii="Times New Roman" w:hAnsi="Times New Roman" w:cs="Times New Roman"/>
          <w:sz w:val="20"/>
          <w:szCs w:val="20"/>
          <w:lang w:val="en-US"/>
        </w:rPr>
        <w:t xml:space="preserve">. 6 – </w:t>
      </w:r>
      <w:proofErr w:type="spellStart"/>
      <w:r w:rsidRPr="00C16167">
        <w:rPr>
          <w:rFonts w:ascii="Times New Roman" w:hAnsi="Times New Roman" w:cs="Times New Roman"/>
          <w:sz w:val="20"/>
          <w:szCs w:val="20"/>
          <w:lang w:val="en-US"/>
        </w:rPr>
        <w:t>Capolongo</w:t>
      </w:r>
      <w:proofErr w:type="spellEnd"/>
      <w:r w:rsidRPr="00C16167">
        <w:rPr>
          <w:rFonts w:ascii="Times New Roman" w:hAnsi="Times New Roman" w:cs="Times New Roman"/>
          <w:sz w:val="20"/>
          <w:szCs w:val="20"/>
          <w:lang w:val="en-US"/>
        </w:rPr>
        <w:t xml:space="preserve">; </w:t>
      </w:r>
      <w:r>
        <w:rPr>
          <w:rFonts w:ascii="Times New Roman" w:hAnsi="Times New Roman" w:cs="Times New Roman"/>
          <w:sz w:val="20"/>
          <w:szCs w:val="20"/>
          <w:lang w:val="en-US"/>
        </w:rPr>
        <w:t>3/22/</w:t>
      </w:r>
      <w:r w:rsidRPr="00C16167">
        <w:rPr>
          <w:rFonts w:ascii="Times New Roman" w:hAnsi="Times New Roman" w:cs="Times New Roman"/>
          <w:sz w:val="20"/>
          <w:szCs w:val="20"/>
          <w:lang w:val="en-US"/>
        </w:rPr>
        <w:t xml:space="preserve">1977 – 78/76, </w:t>
      </w:r>
      <w:r>
        <w:rPr>
          <w:rFonts w:ascii="Times New Roman" w:hAnsi="Times New Roman" w:cs="Times New Roman"/>
          <w:sz w:val="20"/>
          <w:szCs w:val="20"/>
          <w:lang w:val="en-US"/>
        </w:rPr>
        <w:t>ECR</w:t>
      </w:r>
      <w:r w:rsidRPr="00C16167">
        <w:rPr>
          <w:rFonts w:ascii="Times New Roman" w:hAnsi="Times New Roman" w:cs="Times New Roman"/>
          <w:sz w:val="20"/>
          <w:szCs w:val="20"/>
          <w:lang w:val="en-US"/>
        </w:rPr>
        <w:t xml:space="preserve"> 1977, 595 </w:t>
      </w:r>
      <w:r>
        <w:rPr>
          <w:rFonts w:ascii="Times New Roman" w:hAnsi="Times New Roman" w:cs="Times New Roman"/>
          <w:sz w:val="20"/>
          <w:szCs w:val="20"/>
          <w:lang w:val="en-US"/>
        </w:rPr>
        <w:t>no</w:t>
      </w:r>
      <w:r w:rsidRPr="00C16167">
        <w:rPr>
          <w:rFonts w:ascii="Times New Roman" w:hAnsi="Times New Roman" w:cs="Times New Roman"/>
          <w:sz w:val="20"/>
          <w:szCs w:val="20"/>
          <w:lang w:val="en-US"/>
        </w:rPr>
        <w:t xml:space="preserve">. 10 – </w:t>
      </w:r>
      <w:proofErr w:type="spellStart"/>
      <w:r w:rsidRPr="00C16167">
        <w:rPr>
          <w:rFonts w:ascii="Times New Roman" w:hAnsi="Times New Roman" w:cs="Times New Roman"/>
          <w:sz w:val="20"/>
          <w:szCs w:val="20"/>
          <w:lang w:val="en-US"/>
        </w:rPr>
        <w:t>Steinike</w:t>
      </w:r>
      <w:proofErr w:type="spellEnd"/>
      <w:r w:rsidRPr="00C16167">
        <w:rPr>
          <w:rFonts w:ascii="Times New Roman" w:hAnsi="Times New Roman" w:cs="Times New Roman"/>
          <w:sz w:val="20"/>
          <w:szCs w:val="20"/>
          <w:lang w:val="en-US"/>
        </w:rPr>
        <w:t xml:space="preserve"> </w:t>
      </w:r>
      <w:r>
        <w:rPr>
          <w:rFonts w:ascii="Times New Roman" w:hAnsi="Times New Roman" w:cs="Times New Roman"/>
          <w:sz w:val="20"/>
          <w:szCs w:val="20"/>
          <w:lang w:val="en-US"/>
        </w:rPr>
        <w:t>&amp;</w:t>
      </w:r>
      <w:r w:rsidRPr="00C16167">
        <w:rPr>
          <w:rFonts w:ascii="Times New Roman" w:hAnsi="Times New Roman" w:cs="Times New Roman"/>
          <w:sz w:val="20"/>
          <w:szCs w:val="20"/>
          <w:lang w:val="en-US"/>
        </w:rPr>
        <w:t xml:space="preserve"> </w:t>
      </w:r>
      <w:proofErr w:type="spellStart"/>
      <w:r w:rsidRPr="00C16167">
        <w:rPr>
          <w:rFonts w:ascii="Times New Roman" w:hAnsi="Times New Roman" w:cs="Times New Roman"/>
          <w:sz w:val="20"/>
          <w:szCs w:val="20"/>
          <w:lang w:val="en-US"/>
        </w:rPr>
        <w:t>Weinlig</w:t>
      </w:r>
      <w:proofErr w:type="spellEnd"/>
      <w:r w:rsidRPr="00C16167">
        <w:rPr>
          <w:rFonts w:ascii="Times New Roman" w:hAnsi="Times New Roman" w:cs="Times New Roman"/>
          <w:sz w:val="20"/>
          <w:szCs w:val="20"/>
          <w:lang w:val="en-US"/>
        </w:rPr>
        <w:t xml:space="preserve">; </w:t>
      </w:r>
      <w:proofErr w:type="spellStart"/>
      <w:r w:rsidRPr="00C16167">
        <w:rPr>
          <w:rFonts w:ascii="Times New Roman" w:hAnsi="Times New Roman" w:cs="Times New Roman"/>
          <w:i/>
          <w:sz w:val="20"/>
          <w:szCs w:val="20"/>
          <w:lang w:val="en-US"/>
        </w:rPr>
        <w:t>Mestmäcker</w:t>
      </w:r>
      <w:proofErr w:type="spellEnd"/>
      <w:r w:rsidRPr="00C16167">
        <w:rPr>
          <w:rFonts w:ascii="Times New Roman" w:hAnsi="Times New Roman" w:cs="Times New Roman"/>
          <w:i/>
          <w:sz w:val="20"/>
          <w:szCs w:val="20"/>
          <w:lang w:val="en-US"/>
        </w:rPr>
        <w:t>/Schweitzer</w:t>
      </w:r>
      <w:r w:rsidRPr="00DF7DCE">
        <w:rPr>
          <w:rFonts w:ascii="Times New Roman" w:hAnsi="Times New Roman" w:cs="Times New Roman"/>
          <w:sz w:val="20"/>
          <w:szCs w:val="20"/>
          <w:lang w:val="en-US"/>
        </w:rPr>
        <w:t>,</w:t>
      </w:r>
      <w:r w:rsidRPr="00C16167">
        <w:rPr>
          <w:rFonts w:ascii="Times New Roman" w:hAnsi="Times New Roman" w:cs="Times New Roman"/>
          <w:sz w:val="20"/>
          <w:szCs w:val="20"/>
          <w:lang w:val="en-US"/>
        </w:rPr>
        <w:t xml:space="preserve"> in </w:t>
      </w:r>
      <w:proofErr w:type="spellStart"/>
      <w:r w:rsidRPr="00C16167">
        <w:rPr>
          <w:rFonts w:ascii="Times New Roman" w:hAnsi="Times New Roman" w:cs="Times New Roman"/>
          <w:sz w:val="20"/>
          <w:szCs w:val="20"/>
          <w:lang w:val="en-US"/>
        </w:rPr>
        <w:t>Immenga</w:t>
      </w:r>
      <w:proofErr w:type="spellEnd"/>
      <w:r w:rsidRPr="00C16167">
        <w:rPr>
          <w:rFonts w:ascii="Times New Roman" w:hAnsi="Times New Roman" w:cs="Times New Roman"/>
          <w:sz w:val="20"/>
          <w:szCs w:val="20"/>
          <w:lang w:val="en-US"/>
        </w:rPr>
        <w:t>/</w:t>
      </w:r>
      <w:proofErr w:type="spellStart"/>
      <w:r w:rsidRPr="00C16167">
        <w:rPr>
          <w:rFonts w:ascii="Times New Roman" w:hAnsi="Times New Roman" w:cs="Times New Roman"/>
          <w:sz w:val="20"/>
          <w:szCs w:val="20"/>
          <w:lang w:val="en-US"/>
        </w:rPr>
        <w:t>Mestmäcker</w:t>
      </w:r>
      <w:proofErr w:type="spellEnd"/>
      <w:r w:rsidRPr="00C16167">
        <w:rPr>
          <w:rFonts w:ascii="Times New Roman" w:hAnsi="Times New Roman" w:cs="Times New Roman"/>
          <w:sz w:val="20"/>
          <w:szCs w:val="20"/>
          <w:lang w:val="en-US"/>
        </w:rPr>
        <w:t xml:space="preserve">, </w:t>
      </w:r>
      <w:proofErr w:type="spellStart"/>
      <w:r w:rsidRPr="00C16167">
        <w:rPr>
          <w:rFonts w:ascii="Times New Roman" w:hAnsi="Times New Roman" w:cs="Times New Roman"/>
          <w:sz w:val="20"/>
          <w:szCs w:val="20"/>
          <w:lang w:val="en-US"/>
        </w:rPr>
        <w:t>Wettbewerbsrecht</w:t>
      </w:r>
      <w:proofErr w:type="spellEnd"/>
      <w:r w:rsidRPr="00C16167">
        <w:rPr>
          <w:rFonts w:ascii="Times New Roman" w:hAnsi="Times New Roman" w:cs="Times New Roman"/>
          <w:sz w:val="20"/>
          <w:szCs w:val="20"/>
          <w:lang w:val="en-US"/>
        </w:rPr>
        <w:t xml:space="preserve"> </w:t>
      </w:r>
      <w:r>
        <w:rPr>
          <w:rFonts w:ascii="Times New Roman" w:hAnsi="Times New Roman" w:cs="Times New Roman"/>
          <w:sz w:val="20"/>
          <w:szCs w:val="20"/>
          <w:lang w:val="en-US"/>
        </w:rPr>
        <w:t>vol</w:t>
      </w:r>
      <w:r w:rsidRPr="00C16167">
        <w:rPr>
          <w:rFonts w:ascii="Times New Roman" w:hAnsi="Times New Roman" w:cs="Times New Roman"/>
          <w:sz w:val="20"/>
          <w:szCs w:val="20"/>
          <w:lang w:val="en-US"/>
        </w:rPr>
        <w:t>. 3, 5</w:t>
      </w:r>
      <w:r w:rsidRPr="00DF7DCE">
        <w:rPr>
          <w:rFonts w:ascii="Times New Roman" w:hAnsi="Times New Roman" w:cs="Times New Roman"/>
          <w:sz w:val="20"/>
          <w:szCs w:val="20"/>
          <w:vertAlign w:val="superscript"/>
          <w:lang w:val="en-US"/>
        </w:rPr>
        <w:t>th</w:t>
      </w:r>
      <w:r>
        <w:rPr>
          <w:rFonts w:ascii="Times New Roman" w:hAnsi="Times New Roman" w:cs="Times New Roman"/>
          <w:sz w:val="20"/>
          <w:szCs w:val="20"/>
          <w:lang w:val="en-US"/>
        </w:rPr>
        <w:t xml:space="preserve"> ed.</w:t>
      </w:r>
      <w:r w:rsidRPr="00C16167">
        <w:rPr>
          <w:rFonts w:ascii="Times New Roman" w:hAnsi="Times New Roman" w:cs="Times New Roman"/>
          <w:sz w:val="20"/>
          <w:szCs w:val="20"/>
          <w:lang w:val="en-US"/>
        </w:rPr>
        <w:t xml:space="preserve"> 2016, </w:t>
      </w:r>
      <w:r>
        <w:rPr>
          <w:rFonts w:ascii="Times New Roman" w:hAnsi="Times New Roman" w:cs="Times New Roman"/>
          <w:sz w:val="20"/>
          <w:szCs w:val="20"/>
          <w:lang w:val="en-US"/>
        </w:rPr>
        <w:t>Introduction Sect.</w:t>
      </w:r>
      <w:r w:rsidRPr="00C16167">
        <w:rPr>
          <w:rFonts w:ascii="Times New Roman" w:hAnsi="Times New Roman" w:cs="Times New Roman"/>
          <w:sz w:val="20"/>
          <w:szCs w:val="20"/>
          <w:lang w:val="en-US"/>
        </w:rPr>
        <w:t xml:space="preserve"> A. </w:t>
      </w:r>
      <w:r>
        <w:rPr>
          <w:rFonts w:ascii="Times New Roman" w:hAnsi="Times New Roman" w:cs="Times New Roman"/>
          <w:sz w:val="20"/>
          <w:szCs w:val="20"/>
          <w:lang w:val="en-US"/>
        </w:rPr>
        <w:t>no</w:t>
      </w:r>
      <w:r w:rsidRPr="00C16167">
        <w:rPr>
          <w:rFonts w:ascii="Times New Roman" w:hAnsi="Times New Roman" w:cs="Times New Roman"/>
          <w:sz w:val="20"/>
          <w:szCs w:val="20"/>
          <w:lang w:val="en-US"/>
        </w:rPr>
        <w:t xml:space="preserve">. 5; </w:t>
      </w:r>
      <w:r>
        <w:rPr>
          <w:rFonts w:ascii="Times New Roman" w:hAnsi="Times New Roman" w:cs="Times New Roman"/>
          <w:sz w:val="20"/>
          <w:szCs w:val="20"/>
          <w:lang w:val="en-US"/>
        </w:rPr>
        <w:t>comp</w:t>
      </w:r>
      <w:r w:rsidRPr="00C16167">
        <w:rPr>
          <w:rFonts w:ascii="Times New Roman" w:hAnsi="Times New Roman" w:cs="Times New Roman"/>
          <w:sz w:val="20"/>
          <w:szCs w:val="20"/>
          <w:lang w:val="en-US"/>
        </w:rPr>
        <w:t xml:space="preserve">. </w:t>
      </w:r>
      <w:proofErr w:type="spellStart"/>
      <w:r w:rsidRPr="00C16167">
        <w:rPr>
          <w:rFonts w:ascii="Times New Roman" w:hAnsi="Times New Roman" w:cs="Times New Roman"/>
          <w:i/>
          <w:sz w:val="20"/>
          <w:szCs w:val="20"/>
          <w:lang w:val="en-US"/>
        </w:rPr>
        <w:t>Bartosch</w:t>
      </w:r>
      <w:proofErr w:type="spellEnd"/>
      <w:r w:rsidRPr="00DF7DCE">
        <w:rPr>
          <w:rFonts w:ascii="Times New Roman" w:hAnsi="Times New Roman" w:cs="Times New Roman"/>
          <w:sz w:val="20"/>
          <w:szCs w:val="20"/>
          <w:lang w:val="en-US"/>
        </w:rPr>
        <w:t>,</w:t>
      </w:r>
      <w:r w:rsidRPr="00C16167">
        <w:rPr>
          <w:rFonts w:ascii="Times New Roman" w:hAnsi="Times New Roman" w:cs="Times New Roman"/>
          <w:sz w:val="20"/>
          <w:szCs w:val="20"/>
          <w:lang w:val="en-US"/>
        </w:rPr>
        <w:t xml:space="preserve"> EU-</w:t>
      </w:r>
      <w:proofErr w:type="spellStart"/>
      <w:r w:rsidRPr="00C16167">
        <w:rPr>
          <w:rFonts w:ascii="Times New Roman" w:hAnsi="Times New Roman" w:cs="Times New Roman"/>
          <w:sz w:val="20"/>
          <w:szCs w:val="20"/>
          <w:lang w:val="en-US"/>
        </w:rPr>
        <w:t>Beihilfenrecht</w:t>
      </w:r>
      <w:proofErr w:type="spellEnd"/>
      <w:r w:rsidRPr="00C16167">
        <w:rPr>
          <w:rFonts w:ascii="Times New Roman" w:hAnsi="Times New Roman" w:cs="Times New Roman"/>
          <w:sz w:val="20"/>
          <w:szCs w:val="20"/>
          <w:lang w:val="en-US"/>
        </w:rPr>
        <w:t xml:space="preserve">, </w:t>
      </w:r>
      <w:r>
        <w:rPr>
          <w:rFonts w:ascii="Times New Roman" w:hAnsi="Times New Roman" w:cs="Times New Roman"/>
          <w:sz w:val="20"/>
          <w:szCs w:val="20"/>
          <w:lang w:val="en-US"/>
        </w:rPr>
        <w:t>2</w:t>
      </w:r>
      <w:r w:rsidRPr="00DF7DCE">
        <w:rPr>
          <w:rFonts w:ascii="Times New Roman" w:hAnsi="Times New Roman" w:cs="Times New Roman"/>
          <w:sz w:val="20"/>
          <w:szCs w:val="20"/>
          <w:vertAlign w:val="superscript"/>
          <w:lang w:val="en-US"/>
        </w:rPr>
        <w:t>nd</w:t>
      </w:r>
      <w:r>
        <w:rPr>
          <w:rFonts w:ascii="Times New Roman" w:hAnsi="Times New Roman" w:cs="Times New Roman"/>
          <w:sz w:val="20"/>
          <w:szCs w:val="20"/>
          <w:lang w:val="en-US"/>
        </w:rPr>
        <w:t xml:space="preserve"> ed.</w:t>
      </w:r>
      <w:r w:rsidRPr="00C16167">
        <w:rPr>
          <w:rFonts w:ascii="Times New Roman" w:hAnsi="Times New Roman" w:cs="Times New Roman"/>
          <w:sz w:val="20"/>
          <w:szCs w:val="20"/>
          <w:lang w:val="en-US"/>
        </w:rPr>
        <w:t xml:space="preserve"> 2016, </w:t>
      </w:r>
      <w:r>
        <w:rPr>
          <w:rFonts w:ascii="Times New Roman" w:hAnsi="Times New Roman" w:cs="Times New Roman"/>
          <w:sz w:val="20"/>
          <w:szCs w:val="20"/>
          <w:lang w:val="en-US"/>
        </w:rPr>
        <w:t>Sect.</w:t>
      </w:r>
      <w:r w:rsidRPr="00C16167">
        <w:rPr>
          <w:rFonts w:ascii="Times New Roman" w:hAnsi="Times New Roman" w:cs="Times New Roman"/>
          <w:sz w:val="20"/>
          <w:szCs w:val="20"/>
          <w:lang w:val="en-US"/>
        </w:rPr>
        <w:t xml:space="preserve"> H. </w:t>
      </w:r>
      <w:r>
        <w:rPr>
          <w:rFonts w:ascii="Times New Roman" w:hAnsi="Times New Roman" w:cs="Times New Roman"/>
          <w:sz w:val="20"/>
          <w:szCs w:val="20"/>
          <w:lang w:val="en-US"/>
        </w:rPr>
        <w:t>no</w:t>
      </w:r>
      <w:r w:rsidRPr="00C16167">
        <w:rPr>
          <w:rFonts w:ascii="Times New Roman" w:hAnsi="Times New Roman" w:cs="Times New Roman"/>
          <w:sz w:val="20"/>
          <w:szCs w:val="20"/>
          <w:lang w:val="en-US"/>
        </w:rPr>
        <w:t>. 6</w:t>
      </w:r>
      <w:r w:rsidRPr="00C16167">
        <w:rPr>
          <w:rFonts w:ascii="Times New Roman" w:hAnsi="Times New Roman" w:cs="Times New Roman"/>
          <w:color w:val="000000" w:themeColor="text1"/>
          <w:sz w:val="20"/>
          <w:szCs w:val="20"/>
          <w:lang w:val="en-US"/>
        </w:rPr>
        <w:t xml:space="preserve">; </w:t>
      </w:r>
      <w:r>
        <w:rPr>
          <w:rFonts w:ascii="Times New Roman" w:hAnsi="Times New Roman" w:cs="Times New Roman"/>
          <w:sz w:val="20"/>
          <w:szCs w:val="20"/>
          <w:lang w:val="en-US"/>
        </w:rPr>
        <w:t>see</w:t>
      </w:r>
      <w:r w:rsidRPr="00C16167">
        <w:rPr>
          <w:rFonts w:ascii="Times New Roman" w:hAnsi="Times New Roman" w:cs="Times New Roman"/>
          <w:sz w:val="20"/>
          <w:szCs w:val="20"/>
          <w:lang w:val="en-US"/>
        </w:rPr>
        <w:t xml:space="preserve"> </w:t>
      </w:r>
      <w:proofErr w:type="spellStart"/>
      <w:r w:rsidRPr="00C16167">
        <w:rPr>
          <w:rFonts w:ascii="Times New Roman" w:hAnsi="Times New Roman" w:cs="Times New Roman"/>
          <w:i/>
          <w:sz w:val="20"/>
          <w:szCs w:val="20"/>
          <w:lang w:val="en-US"/>
        </w:rPr>
        <w:t>Kreße</w:t>
      </w:r>
      <w:proofErr w:type="spellEnd"/>
      <w:r w:rsidRPr="00C16167">
        <w:rPr>
          <w:rFonts w:ascii="Times New Roman" w:hAnsi="Times New Roman" w:cs="Times New Roman"/>
          <w:sz w:val="20"/>
          <w:szCs w:val="20"/>
          <w:lang w:val="en-US"/>
        </w:rPr>
        <w:t xml:space="preserve"> </w:t>
      </w:r>
      <w:r>
        <w:rPr>
          <w:rFonts w:ascii="Times New Roman" w:hAnsi="Times New Roman" w:cs="Times New Roman"/>
          <w:sz w:val="20"/>
          <w:szCs w:val="20"/>
          <w:lang w:val="en-US"/>
        </w:rPr>
        <w:t>European Union Private Law Review</w:t>
      </w:r>
      <w:r w:rsidRPr="00C16167">
        <w:rPr>
          <w:rFonts w:ascii="Times New Roman" w:hAnsi="Times New Roman" w:cs="Times New Roman"/>
          <w:sz w:val="20"/>
          <w:szCs w:val="20"/>
          <w:lang w:val="en-US"/>
        </w:rPr>
        <w:t xml:space="preserve"> 2018, 210 (</w:t>
      </w:r>
      <w:r>
        <w:rPr>
          <w:rFonts w:ascii="Times New Roman" w:hAnsi="Times New Roman" w:cs="Times New Roman"/>
          <w:sz w:val="20"/>
          <w:szCs w:val="20"/>
          <w:lang w:val="en-US"/>
        </w:rPr>
        <w:t xml:space="preserve">p. </w:t>
      </w:r>
      <w:r w:rsidRPr="00C16167">
        <w:rPr>
          <w:rFonts w:ascii="Times New Roman" w:hAnsi="Times New Roman" w:cs="Times New Roman"/>
          <w:sz w:val="20"/>
          <w:szCs w:val="20"/>
          <w:lang w:val="en-US"/>
        </w:rPr>
        <w:t>213).</w:t>
      </w:r>
    </w:p>
  </w:footnote>
  <w:footnote w:id="46">
    <w:p w14:paraId="2BDA9C68" w14:textId="750EB9FE" w:rsidR="00D13078" w:rsidRPr="00C16167" w:rsidRDefault="00D13078" w:rsidP="00781628">
      <w:pPr>
        <w:pStyle w:val="Funotentext"/>
        <w:rPr>
          <w:lang w:val="en-US"/>
        </w:rPr>
      </w:pPr>
      <w:r w:rsidRPr="00C16167">
        <w:rPr>
          <w:rStyle w:val="Funotenzeichen"/>
          <w:rFonts w:ascii="Times New Roman" w:hAnsi="Times New Roman" w:cs="Times New Roman"/>
          <w:sz w:val="20"/>
          <w:szCs w:val="20"/>
          <w:lang w:val="en-US"/>
        </w:rPr>
        <w:footnoteRef/>
      </w:r>
      <w:r w:rsidRPr="00C16167">
        <w:rPr>
          <w:rFonts w:ascii="Times New Roman" w:hAnsi="Times New Roman" w:cs="Times New Roman"/>
          <w:sz w:val="20"/>
          <w:szCs w:val="20"/>
          <w:lang w:val="en-US"/>
        </w:rPr>
        <w:t xml:space="preserve"> S</w:t>
      </w:r>
      <w:r>
        <w:rPr>
          <w:rFonts w:ascii="Times New Roman" w:hAnsi="Times New Roman" w:cs="Times New Roman"/>
          <w:sz w:val="20"/>
          <w:szCs w:val="20"/>
          <w:lang w:val="en-US"/>
        </w:rPr>
        <w:t>ee above</w:t>
      </w:r>
      <w:r w:rsidR="00736776">
        <w:rPr>
          <w:rFonts w:ascii="Times New Roman" w:hAnsi="Times New Roman" w:cs="Times New Roman"/>
          <w:sz w:val="20"/>
          <w:szCs w:val="20"/>
          <w:lang w:val="en-US"/>
        </w:rPr>
        <w:t>,</w:t>
      </w:r>
      <w:r>
        <w:rPr>
          <w:rFonts w:ascii="Times New Roman" w:hAnsi="Times New Roman" w:cs="Times New Roman"/>
          <w:sz w:val="20"/>
          <w:szCs w:val="20"/>
          <w:lang w:val="en-US"/>
        </w:rPr>
        <w:t xml:space="preserve"> sub </w:t>
      </w:r>
      <w:r w:rsidRPr="00C16167">
        <w:rPr>
          <w:rFonts w:ascii="Times New Roman" w:hAnsi="Times New Roman" w:cs="Times New Roman"/>
          <w:sz w:val="20"/>
          <w:szCs w:val="20"/>
          <w:lang w:val="en-US"/>
        </w:rPr>
        <w:t>II. 2.</w:t>
      </w:r>
    </w:p>
  </w:footnote>
  <w:footnote w:id="47">
    <w:p w14:paraId="23605551" w14:textId="7D7C2DC8" w:rsidR="00D13078" w:rsidRPr="00E66CF8" w:rsidRDefault="00D13078" w:rsidP="00781628">
      <w:pPr>
        <w:pStyle w:val="Funotentext"/>
        <w:jc w:val="both"/>
        <w:rPr>
          <w:rFonts w:ascii="Times New Roman" w:hAnsi="Times New Roman" w:cs="Times New Roman"/>
          <w:sz w:val="20"/>
          <w:szCs w:val="20"/>
        </w:rPr>
      </w:pPr>
      <w:r w:rsidRPr="00C16167">
        <w:rPr>
          <w:rStyle w:val="Funotenzeichen"/>
          <w:rFonts w:ascii="Times New Roman" w:hAnsi="Times New Roman" w:cs="Times New Roman"/>
          <w:sz w:val="20"/>
          <w:szCs w:val="20"/>
          <w:lang w:val="en-US"/>
        </w:rPr>
        <w:footnoteRef/>
      </w:r>
      <w:r w:rsidRPr="00C16167">
        <w:rPr>
          <w:rFonts w:ascii="Times New Roman" w:hAnsi="Times New Roman" w:cs="Times New Roman"/>
          <w:sz w:val="20"/>
          <w:szCs w:val="20"/>
          <w:lang w:val="en-US"/>
        </w:rPr>
        <w:t xml:space="preserve"> BEIS</w:t>
      </w:r>
      <w:r>
        <w:rPr>
          <w:rFonts w:ascii="Times New Roman" w:hAnsi="Times New Roman" w:cs="Times New Roman"/>
          <w:sz w:val="20"/>
          <w:szCs w:val="20"/>
          <w:lang w:val="en-US"/>
        </w:rPr>
        <w:t>,</w:t>
      </w:r>
      <w:r w:rsidRPr="00C16167">
        <w:rPr>
          <w:rFonts w:ascii="Times New Roman" w:hAnsi="Times New Roman" w:cs="Times New Roman"/>
          <w:sz w:val="20"/>
          <w:szCs w:val="20"/>
          <w:lang w:val="en-US"/>
        </w:rPr>
        <w:t xml:space="preserve"> </w:t>
      </w:r>
      <w:r w:rsidRPr="00C16167">
        <w:rPr>
          <w:rFonts w:ascii="Times New Roman" w:hAnsi="Times New Roman" w:cs="Times New Roman"/>
          <w:color w:val="000000" w:themeColor="text1"/>
          <w:sz w:val="20"/>
          <w:szCs w:val="20"/>
          <w:lang w:val="en-US"/>
        </w:rPr>
        <w:t>State aid if there’s no Brexit deal</w:t>
      </w:r>
      <w:r w:rsidRPr="00C16167">
        <w:rPr>
          <w:rFonts w:ascii="Times New Roman" w:hAnsi="Times New Roman" w:cs="Times New Roman"/>
          <w:sz w:val="20"/>
          <w:szCs w:val="20"/>
          <w:lang w:val="en-US"/>
        </w:rPr>
        <w:t>,</w:t>
      </w:r>
      <w:r w:rsidRPr="00C16167">
        <w:rPr>
          <w:rFonts w:ascii="Times New Roman" w:hAnsi="Times New Roman" w:cs="Times New Roman"/>
          <w:color w:val="000000" w:themeColor="text1"/>
          <w:sz w:val="20"/>
          <w:szCs w:val="20"/>
          <w:lang w:val="en-US"/>
        </w:rPr>
        <w:t xml:space="preserve"> sub</w:t>
      </w:r>
      <w:r>
        <w:rPr>
          <w:rFonts w:ascii="Times New Roman" w:hAnsi="Times New Roman" w:cs="Times New Roman"/>
          <w:color w:val="000000" w:themeColor="text1"/>
          <w:sz w:val="20"/>
          <w:szCs w:val="20"/>
          <w:lang w:val="en-US"/>
        </w:rPr>
        <w:t xml:space="preserve"> “</w:t>
      </w:r>
      <w:r w:rsidRPr="00C16167">
        <w:rPr>
          <w:rFonts w:ascii="Times New Roman" w:hAnsi="Times New Roman" w:cs="Times New Roman"/>
          <w:color w:val="000000" w:themeColor="text1"/>
          <w:sz w:val="20"/>
          <w:szCs w:val="20"/>
          <w:lang w:val="en-US"/>
        </w:rPr>
        <w:t>Before 29 March 2019</w:t>
      </w:r>
      <w:r>
        <w:rPr>
          <w:rFonts w:ascii="Times New Roman" w:hAnsi="Times New Roman" w:cs="Times New Roman"/>
          <w:color w:val="000000" w:themeColor="text1"/>
          <w:sz w:val="20"/>
          <w:szCs w:val="20"/>
          <w:lang w:val="en-US"/>
        </w:rPr>
        <w:t>”</w:t>
      </w:r>
      <w:r w:rsidRPr="00C16167">
        <w:rPr>
          <w:rFonts w:ascii="Times New Roman" w:hAnsi="Times New Roman" w:cs="Times New Roman"/>
          <w:color w:val="000000" w:themeColor="text1"/>
          <w:sz w:val="20"/>
          <w:szCs w:val="20"/>
          <w:lang w:val="en-US"/>
        </w:rPr>
        <w:t>.</w:t>
      </w:r>
    </w:p>
  </w:footnote>
  <w:footnote w:id="48">
    <w:p w14:paraId="319CB36D" w14:textId="3A19F18C" w:rsidR="00D13078" w:rsidRPr="00370443" w:rsidRDefault="00D13078" w:rsidP="00370443">
      <w:pPr>
        <w:pStyle w:val="Funotentext"/>
        <w:jc w:val="both"/>
        <w:rPr>
          <w:rFonts w:ascii="Times New Roman" w:hAnsi="Times New Roman" w:cs="Times New Roman"/>
          <w:sz w:val="20"/>
          <w:szCs w:val="20"/>
          <w:lang w:val="en-US"/>
        </w:rPr>
      </w:pPr>
      <w:r w:rsidRPr="00E66CF8">
        <w:rPr>
          <w:rStyle w:val="Funotenzeichen"/>
          <w:rFonts w:ascii="Times New Roman" w:hAnsi="Times New Roman" w:cs="Times New Roman"/>
          <w:sz w:val="20"/>
          <w:szCs w:val="20"/>
        </w:rPr>
        <w:footnoteRef/>
      </w:r>
      <w:r w:rsidRPr="00E66CF8">
        <w:rPr>
          <w:rFonts w:ascii="Times New Roman" w:hAnsi="Times New Roman" w:cs="Times New Roman"/>
          <w:sz w:val="20"/>
          <w:szCs w:val="20"/>
          <w:lang w:val="en-US"/>
        </w:rPr>
        <w:t xml:space="preserve"> </w:t>
      </w:r>
      <w:r>
        <w:rPr>
          <w:rFonts w:ascii="Times New Roman" w:hAnsi="Times New Roman" w:cs="Times New Roman"/>
          <w:sz w:val="20"/>
          <w:szCs w:val="20"/>
          <w:lang w:val="en-US"/>
        </w:rPr>
        <w:t>Comp</w:t>
      </w:r>
      <w:r w:rsidRPr="00370443">
        <w:rPr>
          <w:rFonts w:ascii="Times New Roman" w:hAnsi="Times New Roman" w:cs="Times New Roman"/>
          <w:sz w:val="20"/>
          <w:szCs w:val="20"/>
          <w:lang w:val="en-US"/>
        </w:rPr>
        <w:t xml:space="preserve">. BEIS, </w:t>
      </w:r>
      <w:r w:rsidRPr="00370443">
        <w:rPr>
          <w:rFonts w:ascii="Times New Roman" w:hAnsi="Times New Roman" w:cs="Times New Roman"/>
          <w:color w:val="000000" w:themeColor="text1"/>
          <w:sz w:val="20"/>
          <w:szCs w:val="20"/>
          <w:lang w:val="en-US"/>
        </w:rPr>
        <w:t>State aid if there’s no Brexit deal</w:t>
      </w:r>
      <w:r w:rsidRPr="00370443">
        <w:rPr>
          <w:rFonts w:ascii="Times New Roman" w:hAnsi="Times New Roman" w:cs="Times New Roman"/>
          <w:sz w:val="20"/>
          <w:szCs w:val="20"/>
          <w:lang w:val="en-US"/>
        </w:rPr>
        <w:t>,</w:t>
      </w:r>
      <w:r w:rsidRPr="00370443">
        <w:rPr>
          <w:rFonts w:ascii="Times New Roman" w:hAnsi="Times New Roman" w:cs="Times New Roman"/>
          <w:color w:val="000000" w:themeColor="text1"/>
          <w:sz w:val="20"/>
          <w:szCs w:val="20"/>
          <w:lang w:val="en-US"/>
        </w:rPr>
        <w:t xml:space="preserve"> sub</w:t>
      </w:r>
      <w:r>
        <w:rPr>
          <w:rFonts w:ascii="Times New Roman" w:hAnsi="Times New Roman" w:cs="Times New Roman"/>
          <w:color w:val="000000" w:themeColor="text1"/>
          <w:sz w:val="20"/>
          <w:szCs w:val="20"/>
          <w:lang w:val="en-US"/>
        </w:rPr>
        <w:t xml:space="preserve"> “Before 29 March 2019”</w:t>
      </w:r>
      <w:r w:rsidRPr="00370443">
        <w:rPr>
          <w:rFonts w:ascii="Times New Roman" w:hAnsi="Times New Roman" w:cs="Times New Roman"/>
          <w:color w:val="000000" w:themeColor="text1"/>
          <w:sz w:val="20"/>
          <w:szCs w:val="20"/>
          <w:lang w:val="en-US"/>
        </w:rPr>
        <w:t>.</w:t>
      </w:r>
    </w:p>
  </w:footnote>
  <w:footnote w:id="49">
    <w:p w14:paraId="1CEE9DB3" w14:textId="33D4AA5B" w:rsidR="00D13078" w:rsidRPr="00370443" w:rsidRDefault="00D13078" w:rsidP="00370443">
      <w:pPr>
        <w:pStyle w:val="Funotentext"/>
        <w:jc w:val="both"/>
        <w:rPr>
          <w:rFonts w:ascii="Times New Roman" w:hAnsi="Times New Roman" w:cs="Times New Roman"/>
          <w:sz w:val="20"/>
          <w:szCs w:val="20"/>
          <w:lang w:val="en-US"/>
        </w:rPr>
      </w:pPr>
      <w:r w:rsidRPr="00370443">
        <w:rPr>
          <w:rStyle w:val="Funotenzeichen"/>
          <w:rFonts w:ascii="Times New Roman" w:hAnsi="Times New Roman" w:cs="Times New Roman"/>
          <w:sz w:val="20"/>
          <w:szCs w:val="20"/>
          <w:lang w:val="en-US"/>
        </w:rPr>
        <w:footnoteRef/>
      </w:r>
      <w:r w:rsidRPr="00370443">
        <w:rPr>
          <w:rFonts w:ascii="Times New Roman" w:hAnsi="Times New Roman" w:cs="Times New Roman"/>
          <w:sz w:val="20"/>
          <w:szCs w:val="20"/>
          <w:lang w:val="en-US"/>
        </w:rPr>
        <w:t xml:space="preserve"> </w:t>
      </w:r>
      <w:r>
        <w:rPr>
          <w:rFonts w:ascii="Times New Roman" w:hAnsi="Times New Roman" w:cs="Times New Roman"/>
          <w:sz w:val="20"/>
          <w:szCs w:val="20"/>
          <w:lang w:val="en-US"/>
        </w:rPr>
        <w:t>Comp</w:t>
      </w:r>
      <w:r w:rsidRPr="00370443">
        <w:rPr>
          <w:rFonts w:ascii="Times New Roman" w:hAnsi="Times New Roman" w:cs="Times New Roman"/>
          <w:sz w:val="20"/>
          <w:szCs w:val="20"/>
          <w:lang w:val="en-US"/>
        </w:rPr>
        <w:t>. E</w:t>
      </w:r>
      <w:r>
        <w:rPr>
          <w:rFonts w:ascii="Times New Roman" w:hAnsi="Times New Roman" w:cs="Times New Roman"/>
          <w:sz w:val="20"/>
          <w:szCs w:val="20"/>
          <w:lang w:val="en-US"/>
        </w:rPr>
        <w:t>CJ</w:t>
      </w:r>
      <w:r w:rsidRPr="00370443">
        <w:rPr>
          <w:rFonts w:ascii="Times New Roman" w:hAnsi="Times New Roman" w:cs="Times New Roman"/>
          <w:sz w:val="20"/>
          <w:szCs w:val="20"/>
          <w:lang w:val="en-US"/>
        </w:rPr>
        <w:t xml:space="preserve"> </w:t>
      </w:r>
      <w:r>
        <w:rPr>
          <w:rFonts w:ascii="Times New Roman" w:hAnsi="Times New Roman" w:cs="Times New Roman"/>
          <w:sz w:val="20"/>
          <w:szCs w:val="20"/>
          <w:lang w:val="en-US"/>
        </w:rPr>
        <w:t>2/12/</w:t>
      </w:r>
      <w:r w:rsidRPr="00370443">
        <w:rPr>
          <w:rFonts w:ascii="Times New Roman" w:hAnsi="Times New Roman" w:cs="Times New Roman"/>
          <w:sz w:val="20"/>
          <w:szCs w:val="20"/>
          <w:lang w:val="en-US"/>
        </w:rPr>
        <w:t xml:space="preserve">2008 – C-199/06, </w:t>
      </w:r>
      <w:r>
        <w:rPr>
          <w:rFonts w:ascii="Times New Roman" w:hAnsi="Times New Roman" w:cs="Times New Roman"/>
          <w:sz w:val="20"/>
          <w:szCs w:val="20"/>
          <w:lang w:val="en-US"/>
        </w:rPr>
        <w:t>ECR</w:t>
      </w:r>
      <w:r w:rsidRPr="00370443">
        <w:rPr>
          <w:rFonts w:ascii="Times New Roman" w:hAnsi="Times New Roman" w:cs="Times New Roman"/>
          <w:sz w:val="20"/>
          <w:szCs w:val="20"/>
          <w:lang w:val="en-US"/>
        </w:rPr>
        <w:t xml:space="preserve"> 2008, I-469 </w:t>
      </w:r>
      <w:r>
        <w:rPr>
          <w:rFonts w:ascii="Times New Roman" w:hAnsi="Times New Roman" w:cs="Times New Roman"/>
          <w:sz w:val="20"/>
          <w:szCs w:val="20"/>
          <w:lang w:val="en-US"/>
        </w:rPr>
        <w:t>nos</w:t>
      </w:r>
      <w:r w:rsidRPr="00370443">
        <w:rPr>
          <w:rFonts w:ascii="Times New Roman" w:hAnsi="Times New Roman" w:cs="Times New Roman"/>
          <w:sz w:val="20"/>
          <w:szCs w:val="20"/>
          <w:lang w:val="en-US"/>
        </w:rPr>
        <w:t xml:space="preserve">. 51 </w:t>
      </w:r>
      <w:r>
        <w:rPr>
          <w:rFonts w:ascii="Times New Roman" w:hAnsi="Times New Roman" w:cs="Times New Roman"/>
          <w:sz w:val="20"/>
          <w:szCs w:val="20"/>
          <w:lang w:val="en-US"/>
        </w:rPr>
        <w:t>et seq</w:t>
      </w:r>
      <w:r w:rsidRPr="00370443">
        <w:rPr>
          <w:rFonts w:ascii="Times New Roman" w:hAnsi="Times New Roman" w:cs="Times New Roman"/>
          <w:sz w:val="20"/>
          <w:szCs w:val="20"/>
          <w:lang w:val="en-US"/>
        </w:rPr>
        <w:t xml:space="preserve">. – CELF I, </w:t>
      </w:r>
      <w:r>
        <w:rPr>
          <w:rFonts w:ascii="Times New Roman" w:hAnsi="Times New Roman" w:cs="Times New Roman"/>
          <w:sz w:val="20"/>
          <w:szCs w:val="20"/>
          <w:lang w:val="en-US"/>
        </w:rPr>
        <w:t>concerning an aid that had been granted in violation of the standstill requirement, but was approved later by the European Commission; see also</w:t>
      </w:r>
      <w:r w:rsidRPr="00370443">
        <w:rPr>
          <w:rFonts w:ascii="Times New Roman" w:hAnsi="Times New Roman" w:cs="Times New Roman"/>
          <w:sz w:val="20"/>
          <w:szCs w:val="20"/>
          <w:lang w:val="en-US"/>
        </w:rPr>
        <w:t xml:space="preserve"> </w:t>
      </w:r>
      <w:proofErr w:type="spellStart"/>
      <w:r w:rsidRPr="00370443">
        <w:rPr>
          <w:rFonts w:ascii="Times New Roman" w:hAnsi="Times New Roman" w:cs="Times New Roman"/>
          <w:i/>
          <w:sz w:val="20"/>
          <w:szCs w:val="20"/>
          <w:lang w:val="en-US"/>
        </w:rPr>
        <w:t>Kreße</w:t>
      </w:r>
      <w:proofErr w:type="spellEnd"/>
      <w:r w:rsidRPr="00E43ACA">
        <w:rPr>
          <w:rFonts w:ascii="Times New Roman" w:hAnsi="Times New Roman" w:cs="Times New Roman"/>
          <w:sz w:val="20"/>
          <w:szCs w:val="20"/>
          <w:lang w:val="en-US"/>
        </w:rPr>
        <w:t>,</w:t>
      </w:r>
      <w:r w:rsidRPr="00370443">
        <w:rPr>
          <w:rFonts w:ascii="Times New Roman" w:hAnsi="Times New Roman" w:cs="Times New Roman"/>
          <w:sz w:val="20"/>
          <w:szCs w:val="20"/>
          <w:lang w:val="en-US"/>
        </w:rPr>
        <w:t xml:space="preserve"> </w:t>
      </w:r>
      <w:r>
        <w:rPr>
          <w:rFonts w:ascii="Times New Roman" w:hAnsi="Times New Roman" w:cs="Times New Roman"/>
          <w:sz w:val="20"/>
          <w:szCs w:val="20"/>
        </w:rPr>
        <w:t>European Union Private Law Review,</w:t>
      </w:r>
      <w:r w:rsidRPr="00E66CF8">
        <w:rPr>
          <w:rFonts w:ascii="Times New Roman" w:hAnsi="Times New Roman" w:cs="Times New Roman"/>
          <w:sz w:val="20"/>
          <w:szCs w:val="20"/>
        </w:rPr>
        <w:t xml:space="preserve"> 2018</w:t>
      </w:r>
      <w:r>
        <w:rPr>
          <w:rFonts w:ascii="Times New Roman" w:hAnsi="Times New Roman" w:cs="Times New Roman"/>
          <w:sz w:val="20"/>
          <w:szCs w:val="20"/>
        </w:rPr>
        <w:t xml:space="preserve">, 210 </w:t>
      </w:r>
      <w:r w:rsidRPr="00370443">
        <w:rPr>
          <w:rFonts w:ascii="Times New Roman" w:hAnsi="Times New Roman" w:cs="Times New Roman"/>
          <w:sz w:val="20"/>
          <w:szCs w:val="20"/>
          <w:lang w:val="en-US"/>
        </w:rPr>
        <w:t>(</w:t>
      </w:r>
      <w:r>
        <w:rPr>
          <w:rFonts w:ascii="Times New Roman" w:hAnsi="Times New Roman" w:cs="Times New Roman"/>
          <w:sz w:val="20"/>
          <w:szCs w:val="20"/>
          <w:lang w:val="en-US"/>
        </w:rPr>
        <w:t xml:space="preserve">p. </w:t>
      </w:r>
      <w:r w:rsidRPr="00370443">
        <w:rPr>
          <w:rFonts w:ascii="Times New Roman" w:hAnsi="Times New Roman" w:cs="Times New Roman"/>
          <w:sz w:val="20"/>
          <w:szCs w:val="20"/>
          <w:lang w:val="en-US"/>
        </w:rPr>
        <w:t>214).</w:t>
      </w:r>
    </w:p>
  </w:footnote>
  <w:footnote w:id="50">
    <w:p w14:paraId="5FAA1268" w14:textId="097C5BE0" w:rsidR="00D13078" w:rsidRPr="00370443" w:rsidRDefault="00D13078" w:rsidP="00370443">
      <w:pPr>
        <w:pStyle w:val="Funotentext"/>
        <w:rPr>
          <w:rFonts w:ascii="Times New Roman" w:hAnsi="Times New Roman" w:cs="Times New Roman"/>
          <w:sz w:val="20"/>
          <w:szCs w:val="20"/>
          <w:lang w:val="en-US"/>
        </w:rPr>
      </w:pPr>
      <w:r w:rsidRPr="00370443">
        <w:rPr>
          <w:rStyle w:val="Funotenzeichen"/>
          <w:rFonts w:ascii="Times New Roman" w:hAnsi="Times New Roman" w:cs="Times New Roman"/>
          <w:sz w:val="20"/>
          <w:szCs w:val="20"/>
          <w:lang w:val="en-US"/>
        </w:rPr>
        <w:footnoteRef/>
      </w:r>
      <w:r w:rsidRPr="00370443">
        <w:rPr>
          <w:rFonts w:ascii="Times New Roman" w:hAnsi="Times New Roman" w:cs="Times New Roman"/>
          <w:sz w:val="20"/>
          <w:szCs w:val="20"/>
          <w:lang w:val="en-US"/>
        </w:rPr>
        <w:t xml:space="preserve"> </w:t>
      </w:r>
      <w:r>
        <w:rPr>
          <w:rFonts w:ascii="Times New Roman" w:hAnsi="Times New Roman" w:cs="Times New Roman"/>
          <w:sz w:val="20"/>
          <w:szCs w:val="20"/>
          <w:lang w:val="en-US"/>
        </w:rPr>
        <w:t>Comp</w:t>
      </w:r>
      <w:r w:rsidRPr="00370443">
        <w:rPr>
          <w:rFonts w:ascii="Times New Roman" w:hAnsi="Times New Roman" w:cs="Times New Roman"/>
          <w:sz w:val="20"/>
          <w:szCs w:val="20"/>
          <w:lang w:val="en-US"/>
        </w:rPr>
        <w:t>. BEIS</w:t>
      </w:r>
      <w:r>
        <w:rPr>
          <w:rFonts w:ascii="Times New Roman" w:hAnsi="Times New Roman" w:cs="Times New Roman"/>
          <w:sz w:val="20"/>
          <w:szCs w:val="20"/>
          <w:lang w:val="en-US"/>
        </w:rPr>
        <w:t>,</w:t>
      </w:r>
      <w:r w:rsidRPr="00370443">
        <w:rPr>
          <w:rFonts w:ascii="Times New Roman" w:hAnsi="Times New Roman" w:cs="Times New Roman"/>
          <w:sz w:val="20"/>
          <w:szCs w:val="20"/>
          <w:lang w:val="en-US"/>
        </w:rPr>
        <w:t xml:space="preserve"> </w:t>
      </w:r>
      <w:r w:rsidRPr="00370443">
        <w:rPr>
          <w:rFonts w:ascii="Times New Roman" w:hAnsi="Times New Roman" w:cs="Times New Roman"/>
          <w:color w:val="000000" w:themeColor="text1"/>
          <w:sz w:val="20"/>
          <w:szCs w:val="20"/>
          <w:lang w:val="en-US"/>
        </w:rPr>
        <w:t>State aid if there’s no Brexit deal</w:t>
      </w:r>
      <w:r w:rsidRPr="00370443">
        <w:rPr>
          <w:rFonts w:ascii="Times New Roman" w:hAnsi="Times New Roman" w:cs="Times New Roman"/>
          <w:sz w:val="20"/>
          <w:szCs w:val="20"/>
          <w:lang w:val="en-US"/>
        </w:rPr>
        <w:t xml:space="preserve">, </w:t>
      </w:r>
      <w:r w:rsidRPr="00370443">
        <w:rPr>
          <w:rFonts w:ascii="Times New Roman" w:hAnsi="Times New Roman" w:cs="Times New Roman"/>
          <w:color w:val="000000" w:themeColor="text1"/>
          <w:sz w:val="20"/>
          <w:szCs w:val="20"/>
          <w:lang w:val="en-US"/>
        </w:rPr>
        <w:t>sub</w:t>
      </w:r>
      <w:r>
        <w:rPr>
          <w:rFonts w:ascii="Times New Roman" w:hAnsi="Times New Roman" w:cs="Times New Roman"/>
          <w:color w:val="000000" w:themeColor="text1"/>
          <w:sz w:val="20"/>
          <w:szCs w:val="20"/>
          <w:lang w:val="en-US"/>
        </w:rPr>
        <w:t xml:space="preserve"> “</w:t>
      </w:r>
      <w:r w:rsidRPr="00370443">
        <w:rPr>
          <w:rFonts w:ascii="Times New Roman" w:hAnsi="Times New Roman" w:cs="Times New Roman"/>
          <w:color w:val="000000" w:themeColor="text1"/>
          <w:sz w:val="20"/>
          <w:szCs w:val="20"/>
          <w:lang w:val="en-US"/>
        </w:rPr>
        <w:t>After 29 March 2019 if there’s</w:t>
      </w:r>
      <w:r>
        <w:rPr>
          <w:rFonts w:ascii="Times New Roman" w:hAnsi="Times New Roman" w:cs="Times New Roman"/>
          <w:color w:val="000000" w:themeColor="text1"/>
          <w:sz w:val="20"/>
          <w:szCs w:val="20"/>
          <w:lang w:val="en-US"/>
        </w:rPr>
        <w:t xml:space="preserve"> ‘</w:t>
      </w:r>
      <w:r w:rsidRPr="00370443">
        <w:rPr>
          <w:rFonts w:ascii="Times New Roman" w:hAnsi="Times New Roman" w:cs="Times New Roman"/>
          <w:color w:val="000000" w:themeColor="text1"/>
          <w:sz w:val="20"/>
          <w:szCs w:val="20"/>
          <w:lang w:val="en-US"/>
        </w:rPr>
        <w:t>no deal</w:t>
      </w:r>
      <w:r>
        <w:rPr>
          <w:rFonts w:ascii="Times New Roman" w:hAnsi="Times New Roman" w:cs="Times New Roman"/>
          <w:color w:val="000000" w:themeColor="text1"/>
          <w:sz w:val="20"/>
          <w:szCs w:val="20"/>
          <w:lang w:val="en-US"/>
        </w:rPr>
        <w:t>’</w:t>
      </w:r>
      <w:r w:rsidRPr="00370443">
        <w:rPr>
          <w:rFonts w:ascii="Times New Roman" w:hAnsi="Times New Roman" w:cs="Times New Roman"/>
          <w:color w:val="000000" w:themeColor="text1"/>
          <w:sz w:val="20"/>
          <w:szCs w:val="20"/>
          <w:lang w:val="en-US"/>
        </w:rPr>
        <w:t xml:space="preserve"> / Implications</w:t>
      </w:r>
      <w:r>
        <w:rPr>
          <w:rFonts w:ascii="Times New Roman" w:hAnsi="Times New Roman" w:cs="Times New Roman"/>
          <w:color w:val="000000" w:themeColor="text1"/>
          <w:sz w:val="20"/>
          <w:szCs w:val="20"/>
          <w:lang w:val="en-US"/>
        </w:rPr>
        <w:t>”</w:t>
      </w:r>
      <w:r w:rsidRPr="00370443">
        <w:rPr>
          <w:rFonts w:ascii="Times New Roman" w:hAnsi="Times New Roman" w:cs="Times New Roman"/>
          <w:color w:val="000000" w:themeColor="text1"/>
          <w:sz w:val="20"/>
          <w:szCs w:val="20"/>
          <w:lang w:val="en-US"/>
        </w:rPr>
        <w:t>.</w:t>
      </w:r>
    </w:p>
  </w:footnote>
  <w:footnote w:id="51">
    <w:p w14:paraId="6541FF01" w14:textId="22DEF7F4" w:rsidR="00D13078" w:rsidRPr="00370443" w:rsidRDefault="00D13078" w:rsidP="00370443">
      <w:pPr>
        <w:pStyle w:val="Funotentext"/>
        <w:rPr>
          <w:rFonts w:ascii="Times New Roman" w:hAnsi="Times New Roman" w:cs="Times New Roman"/>
          <w:sz w:val="20"/>
          <w:szCs w:val="20"/>
          <w:lang w:val="en-US"/>
        </w:rPr>
      </w:pPr>
      <w:r w:rsidRPr="00370443">
        <w:rPr>
          <w:rStyle w:val="Funotenzeichen"/>
          <w:rFonts w:ascii="Times New Roman" w:hAnsi="Times New Roman" w:cs="Times New Roman"/>
          <w:sz w:val="20"/>
          <w:szCs w:val="20"/>
          <w:lang w:val="en-US"/>
        </w:rPr>
        <w:footnoteRef/>
      </w:r>
      <w:r w:rsidRPr="00370443">
        <w:rPr>
          <w:rFonts w:ascii="Times New Roman" w:hAnsi="Times New Roman" w:cs="Times New Roman"/>
          <w:sz w:val="20"/>
          <w:szCs w:val="20"/>
          <w:lang w:val="en-US"/>
        </w:rPr>
        <w:t xml:space="preserve"> BEIS, </w:t>
      </w:r>
      <w:r w:rsidRPr="00370443">
        <w:rPr>
          <w:rFonts w:ascii="Times New Roman" w:hAnsi="Times New Roman" w:cs="Times New Roman"/>
          <w:color w:val="000000" w:themeColor="text1"/>
          <w:sz w:val="20"/>
          <w:szCs w:val="20"/>
          <w:lang w:val="en-US"/>
        </w:rPr>
        <w:t>State aid if there’s no Brexit deal</w:t>
      </w:r>
      <w:r w:rsidRPr="00370443">
        <w:rPr>
          <w:rFonts w:ascii="Times New Roman" w:hAnsi="Times New Roman" w:cs="Times New Roman"/>
          <w:sz w:val="20"/>
          <w:szCs w:val="20"/>
          <w:lang w:val="en-US"/>
        </w:rPr>
        <w:t>,</w:t>
      </w:r>
      <w:r w:rsidRPr="00370443">
        <w:rPr>
          <w:rFonts w:ascii="Times New Roman" w:hAnsi="Times New Roman" w:cs="Times New Roman"/>
          <w:color w:val="000000" w:themeColor="text1"/>
          <w:sz w:val="20"/>
          <w:szCs w:val="20"/>
          <w:lang w:val="en-US"/>
        </w:rPr>
        <w:t xml:space="preserve"> sub</w:t>
      </w:r>
      <w:r>
        <w:rPr>
          <w:rFonts w:ascii="Times New Roman" w:hAnsi="Times New Roman" w:cs="Times New Roman"/>
          <w:color w:val="000000" w:themeColor="text1"/>
          <w:sz w:val="20"/>
          <w:szCs w:val="20"/>
          <w:lang w:val="en-US"/>
        </w:rPr>
        <w:t xml:space="preserve"> “</w:t>
      </w:r>
      <w:r w:rsidRPr="00370443">
        <w:rPr>
          <w:rFonts w:ascii="Times New Roman" w:hAnsi="Times New Roman" w:cs="Times New Roman"/>
          <w:color w:val="000000" w:themeColor="text1"/>
          <w:sz w:val="20"/>
          <w:szCs w:val="20"/>
          <w:lang w:val="en-US"/>
        </w:rPr>
        <w:t xml:space="preserve">After 29 March 2019 if there’s </w:t>
      </w:r>
      <w:r>
        <w:rPr>
          <w:rFonts w:ascii="Times New Roman" w:hAnsi="Times New Roman" w:cs="Times New Roman"/>
          <w:color w:val="000000" w:themeColor="text1"/>
          <w:sz w:val="20"/>
          <w:szCs w:val="20"/>
          <w:lang w:val="en-US"/>
        </w:rPr>
        <w:t>‘</w:t>
      </w:r>
      <w:r w:rsidRPr="00370443">
        <w:rPr>
          <w:rFonts w:ascii="Times New Roman" w:hAnsi="Times New Roman" w:cs="Times New Roman"/>
          <w:color w:val="000000" w:themeColor="text1"/>
          <w:sz w:val="20"/>
          <w:szCs w:val="20"/>
          <w:lang w:val="en-US"/>
        </w:rPr>
        <w:t>no deal</w:t>
      </w:r>
      <w:r>
        <w:rPr>
          <w:rFonts w:ascii="Times New Roman" w:hAnsi="Times New Roman" w:cs="Times New Roman"/>
          <w:color w:val="000000" w:themeColor="text1"/>
          <w:sz w:val="20"/>
          <w:szCs w:val="20"/>
          <w:lang w:val="en-US"/>
        </w:rPr>
        <w:t>’”</w:t>
      </w:r>
      <w:r w:rsidRPr="00370443">
        <w:rPr>
          <w:rFonts w:ascii="Times New Roman" w:hAnsi="Times New Roman" w:cs="Times New Roman"/>
          <w:color w:val="000000" w:themeColor="text1"/>
          <w:sz w:val="20"/>
          <w:szCs w:val="20"/>
          <w:lang w:val="en-US"/>
        </w:rPr>
        <w:t>.</w:t>
      </w:r>
    </w:p>
  </w:footnote>
  <w:footnote w:id="52">
    <w:p w14:paraId="065E1EAD" w14:textId="0566D707" w:rsidR="00D13078" w:rsidRPr="00370443" w:rsidRDefault="00D13078" w:rsidP="00370443">
      <w:pPr>
        <w:pStyle w:val="Funotentext"/>
        <w:jc w:val="both"/>
        <w:rPr>
          <w:rFonts w:ascii="Times New Roman" w:hAnsi="Times New Roman" w:cs="Times New Roman"/>
          <w:sz w:val="20"/>
          <w:szCs w:val="20"/>
          <w:lang w:val="en-US"/>
        </w:rPr>
      </w:pPr>
      <w:r w:rsidRPr="00370443">
        <w:rPr>
          <w:rStyle w:val="Funotenzeichen"/>
          <w:rFonts w:ascii="Times New Roman" w:hAnsi="Times New Roman" w:cs="Times New Roman"/>
          <w:sz w:val="20"/>
          <w:szCs w:val="20"/>
          <w:lang w:val="en-US"/>
        </w:rPr>
        <w:footnoteRef/>
      </w:r>
      <w:r w:rsidRPr="00370443">
        <w:rPr>
          <w:rFonts w:ascii="Times New Roman" w:hAnsi="Times New Roman" w:cs="Times New Roman"/>
          <w:sz w:val="20"/>
          <w:szCs w:val="20"/>
          <w:lang w:val="en-US"/>
        </w:rPr>
        <w:t xml:space="preserve"> </w:t>
      </w:r>
      <w:r>
        <w:rPr>
          <w:rFonts w:ascii="Times New Roman" w:hAnsi="Times New Roman" w:cs="Times New Roman"/>
          <w:sz w:val="20"/>
          <w:szCs w:val="20"/>
          <w:lang w:val="en-US"/>
        </w:rPr>
        <w:t>Comp., however,</w:t>
      </w:r>
      <w:r w:rsidRPr="00370443">
        <w:rPr>
          <w:rFonts w:ascii="Times New Roman" w:hAnsi="Times New Roman" w:cs="Times New Roman"/>
          <w:sz w:val="20"/>
          <w:szCs w:val="20"/>
          <w:lang w:val="en-US"/>
        </w:rPr>
        <w:t xml:space="preserve"> E</w:t>
      </w:r>
      <w:r>
        <w:rPr>
          <w:rFonts w:ascii="Times New Roman" w:hAnsi="Times New Roman" w:cs="Times New Roman"/>
          <w:sz w:val="20"/>
          <w:szCs w:val="20"/>
          <w:lang w:val="en-US"/>
        </w:rPr>
        <w:t>CJ</w:t>
      </w:r>
      <w:r w:rsidRPr="00370443">
        <w:rPr>
          <w:rFonts w:ascii="Times New Roman" w:hAnsi="Times New Roman" w:cs="Times New Roman"/>
          <w:sz w:val="20"/>
          <w:szCs w:val="20"/>
          <w:lang w:val="en-US"/>
        </w:rPr>
        <w:t xml:space="preserve"> </w:t>
      </w:r>
      <w:r>
        <w:rPr>
          <w:rFonts w:ascii="Times New Roman" w:hAnsi="Times New Roman" w:cs="Times New Roman"/>
          <w:sz w:val="20"/>
          <w:szCs w:val="20"/>
          <w:lang w:val="en-US"/>
        </w:rPr>
        <w:t>2/12/</w:t>
      </w:r>
      <w:r w:rsidRPr="00370443">
        <w:rPr>
          <w:rFonts w:ascii="Times New Roman" w:hAnsi="Times New Roman" w:cs="Times New Roman"/>
          <w:sz w:val="20"/>
          <w:szCs w:val="20"/>
          <w:lang w:val="en-US"/>
        </w:rPr>
        <w:t xml:space="preserve">2008 – C-199/06, </w:t>
      </w:r>
      <w:r>
        <w:rPr>
          <w:rFonts w:ascii="Times New Roman" w:hAnsi="Times New Roman" w:cs="Times New Roman"/>
          <w:sz w:val="20"/>
          <w:szCs w:val="20"/>
          <w:lang w:val="en-US"/>
        </w:rPr>
        <w:t>ECR</w:t>
      </w:r>
      <w:r w:rsidRPr="00370443">
        <w:rPr>
          <w:rFonts w:ascii="Times New Roman" w:hAnsi="Times New Roman" w:cs="Times New Roman"/>
          <w:sz w:val="20"/>
          <w:szCs w:val="20"/>
          <w:lang w:val="en-US"/>
        </w:rPr>
        <w:t xml:space="preserve"> 2008, I-469 </w:t>
      </w:r>
      <w:r>
        <w:rPr>
          <w:rFonts w:ascii="Times New Roman" w:hAnsi="Times New Roman" w:cs="Times New Roman"/>
          <w:sz w:val="20"/>
          <w:szCs w:val="20"/>
          <w:lang w:val="en-US"/>
        </w:rPr>
        <w:t>no</w:t>
      </w:r>
      <w:r w:rsidRPr="00370443">
        <w:rPr>
          <w:rFonts w:ascii="Times New Roman" w:hAnsi="Times New Roman" w:cs="Times New Roman"/>
          <w:sz w:val="20"/>
          <w:szCs w:val="20"/>
          <w:lang w:val="en-US"/>
        </w:rPr>
        <w:t xml:space="preserve">. 53 – CELF I, </w:t>
      </w:r>
      <w:r>
        <w:rPr>
          <w:rFonts w:ascii="Times New Roman" w:hAnsi="Times New Roman" w:cs="Times New Roman"/>
          <w:sz w:val="20"/>
          <w:szCs w:val="20"/>
          <w:lang w:val="en-US"/>
        </w:rPr>
        <w:t>who holds a restitution order concerning illegal aid</w:t>
      </w:r>
      <w:r w:rsidRPr="00370443">
        <w:rPr>
          <w:rFonts w:ascii="Times New Roman" w:hAnsi="Times New Roman" w:cs="Times New Roman"/>
          <w:sz w:val="20"/>
          <w:szCs w:val="20"/>
          <w:lang w:val="en-US"/>
        </w:rPr>
        <w:t xml:space="preserve"> </w:t>
      </w:r>
      <w:r>
        <w:rPr>
          <w:rFonts w:ascii="Times New Roman" w:hAnsi="Times New Roman" w:cs="Times New Roman"/>
          <w:sz w:val="20"/>
          <w:szCs w:val="20"/>
          <w:lang w:val="en-US"/>
        </w:rPr>
        <w:t>to be possible in any case</w:t>
      </w:r>
      <w:r w:rsidRPr="00370443">
        <w:rPr>
          <w:rFonts w:ascii="Times New Roman" w:hAnsi="Times New Roman" w:cs="Times New Roman"/>
          <w:sz w:val="20"/>
          <w:szCs w:val="20"/>
          <w:lang w:val="en-US"/>
        </w:rPr>
        <w:t xml:space="preserve">, </w:t>
      </w:r>
      <w:r>
        <w:rPr>
          <w:rFonts w:ascii="Times New Roman" w:hAnsi="Times New Roman" w:cs="Times New Roman"/>
          <w:sz w:val="20"/>
          <w:szCs w:val="20"/>
          <w:lang w:val="en-US"/>
        </w:rPr>
        <w:t>without prejudice to the right of the Member State to grant the same aid again after approval</w:t>
      </w:r>
      <w:r w:rsidRPr="00370443">
        <w:rPr>
          <w:rFonts w:ascii="Times New Roman" w:hAnsi="Times New Roman" w:cs="Times New Roman"/>
          <w:sz w:val="20"/>
          <w:szCs w:val="20"/>
          <w:lang w:val="en-US"/>
        </w:rPr>
        <w:t xml:space="preserve">.  </w:t>
      </w:r>
    </w:p>
  </w:footnote>
  <w:footnote w:id="53">
    <w:p w14:paraId="59974C76" w14:textId="6D53F2DF" w:rsidR="00D13078" w:rsidRPr="00370443" w:rsidRDefault="00D13078" w:rsidP="00370443">
      <w:pPr>
        <w:pStyle w:val="Funotentext"/>
        <w:jc w:val="both"/>
        <w:rPr>
          <w:rFonts w:ascii="Times New Roman" w:hAnsi="Times New Roman" w:cs="Times New Roman"/>
          <w:sz w:val="20"/>
          <w:szCs w:val="20"/>
          <w:lang w:val="en-US"/>
        </w:rPr>
      </w:pPr>
      <w:r w:rsidRPr="00370443">
        <w:rPr>
          <w:rStyle w:val="Funotenzeichen"/>
          <w:rFonts w:ascii="Times New Roman" w:hAnsi="Times New Roman" w:cs="Times New Roman"/>
          <w:sz w:val="20"/>
          <w:szCs w:val="20"/>
          <w:lang w:val="en-US"/>
        </w:rPr>
        <w:footnoteRef/>
      </w:r>
      <w:r w:rsidRPr="00370443">
        <w:rPr>
          <w:rFonts w:ascii="Times New Roman" w:hAnsi="Times New Roman" w:cs="Times New Roman"/>
          <w:sz w:val="20"/>
          <w:szCs w:val="20"/>
          <w:lang w:val="en-US"/>
        </w:rPr>
        <w:t xml:space="preserve"> </w:t>
      </w:r>
      <w:r>
        <w:rPr>
          <w:rFonts w:ascii="Times New Roman" w:hAnsi="Times New Roman" w:cs="Times New Roman"/>
          <w:sz w:val="20"/>
          <w:szCs w:val="20"/>
          <w:lang w:val="en-US"/>
        </w:rPr>
        <w:t>Comp.</w:t>
      </w:r>
      <w:r w:rsidRPr="00370443">
        <w:rPr>
          <w:rFonts w:ascii="Times New Roman" w:hAnsi="Times New Roman" w:cs="Times New Roman"/>
          <w:sz w:val="20"/>
          <w:szCs w:val="20"/>
          <w:lang w:val="en-US"/>
        </w:rPr>
        <w:t xml:space="preserve"> </w:t>
      </w:r>
      <w:r>
        <w:rPr>
          <w:rFonts w:ascii="Times New Roman" w:hAnsi="Times New Roman" w:cs="Times New Roman"/>
          <w:sz w:val="20"/>
          <w:szCs w:val="20"/>
          <w:lang w:val="en-US"/>
        </w:rPr>
        <w:t>ECJ</w:t>
      </w:r>
      <w:r w:rsidRPr="00370443">
        <w:rPr>
          <w:rFonts w:ascii="Times New Roman" w:hAnsi="Times New Roman" w:cs="Times New Roman"/>
          <w:sz w:val="20"/>
          <w:szCs w:val="20"/>
          <w:lang w:val="en-US"/>
        </w:rPr>
        <w:t xml:space="preserve"> </w:t>
      </w:r>
      <w:r>
        <w:rPr>
          <w:rFonts w:ascii="Times New Roman" w:hAnsi="Times New Roman" w:cs="Times New Roman"/>
          <w:sz w:val="20"/>
          <w:szCs w:val="20"/>
          <w:lang w:val="en-US"/>
        </w:rPr>
        <w:t>2/12/</w:t>
      </w:r>
      <w:r w:rsidRPr="00370443">
        <w:rPr>
          <w:rFonts w:ascii="Times New Roman" w:hAnsi="Times New Roman" w:cs="Times New Roman"/>
          <w:sz w:val="20"/>
          <w:szCs w:val="20"/>
          <w:lang w:val="en-US"/>
        </w:rPr>
        <w:t xml:space="preserve">2008 – C-199/06, </w:t>
      </w:r>
      <w:r>
        <w:rPr>
          <w:rFonts w:ascii="Times New Roman" w:hAnsi="Times New Roman" w:cs="Times New Roman"/>
          <w:sz w:val="20"/>
          <w:szCs w:val="20"/>
          <w:lang w:val="en-US"/>
        </w:rPr>
        <w:t>ECR</w:t>
      </w:r>
      <w:r w:rsidRPr="00370443">
        <w:rPr>
          <w:rFonts w:ascii="Times New Roman" w:hAnsi="Times New Roman" w:cs="Times New Roman"/>
          <w:sz w:val="20"/>
          <w:szCs w:val="20"/>
          <w:lang w:val="en-US"/>
        </w:rPr>
        <w:t xml:space="preserve"> 2008, I-469 </w:t>
      </w:r>
      <w:r>
        <w:rPr>
          <w:rFonts w:ascii="Times New Roman" w:hAnsi="Times New Roman" w:cs="Times New Roman"/>
          <w:sz w:val="20"/>
          <w:szCs w:val="20"/>
          <w:lang w:val="en-US"/>
        </w:rPr>
        <w:t>nos</w:t>
      </w:r>
      <w:r w:rsidRPr="00370443">
        <w:rPr>
          <w:rFonts w:ascii="Times New Roman" w:hAnsi="Times New Roman" w:cs="Times New Roman"/>
          <w:sz w:val="20"/>
          <w:szCs w:val="20"/>
          <w:lang w:val="en-US"/>
        </w:rPr>
        <w:t xml:space="preserve">. 50 </w:t>
      </w:r>
      <w:r>
        <w:rPr>
          <w:rFonts w:ascii="Times New Roman" w:hAnsi="Times New Roman" w:cs="Times New Roman"/>
          <w:sz w:val="20"/>
          <w:szCs w:val="20"/>
          <w:lang w:val="en-US"/>
        </w:rPr>
        <w:t>et seq.</w:t>
      </w:r>
      <w:r w:rsidRPr="00370443">
        <w:rPr>
          <w:rFonts w:ascii="Times New Roman" w:hAnsi="Times New Roman" w:cs="Times New Roman"/>
          <w:sz w:val="20"/>
          <w:szCs w:val="20"/>
          <w:lang w:val="en-US"/>
        </w:rPr>
        <w:t>, 55 – CELF I.</w:t>
      </w:r>
    </w:p>
  </w:footnote>
  <w:footnote w:id="54">
    <w:p w14:paraId="3A3F45F9" w14:textId="009839E2" w:rsidR="00D13078" w:rsidRPr="00E66CF8" w:rsidRDefault="00D13078" w:rsidP="00370443">
      <w:pPr>
        <w:pStyle w:val="Funotentext"/>
        <w:jc w:val="both"/>
        <w:rPr>
          <w:rFonts w:ascii="Times New Roman" w:hAnsi="Times New Roman" w:cs="Times New Roman"/>
          <w:sz w:val="20"/>
          <w:szCs w:val="20"/>
        </w:rPr>
      </w:pPr>
      <w:r w:rsidRPr="00370443">
        <w:rPr>
          <w:rStyle w:val="Funotenzeichen"/>
          <w:rFonts w:ascii="Times New Roman" w:hAnsi="Times New Roman" w:cs="Times New Roman"/>
          <w:sz w:val="20"/>
          <w:szCs w:val="20"/>
          <w:lang w:val="en-US"/>
        </w:rPr>
        <w:footnoteRef/>
      </w:r>
      <w:r w:rsidRPr="00370443">
        <w:rPr>
          <w:rFonts w:ascii="Times New Roman" w:hAnsi="Times New Roman" w:cs="Times New Roman"/>
          <w:sz w:val="20"/>
          <w:szCs w:val="20"/>
          <w:lang w:val="en-US"/>
        </w:rPr>
        <w:t xml:space="preserve"> </w:t>
      </w:r>
      <w:r>
        <w:rPr>
          <w:rFonts w:ascii="Times New Roman" w:hAnsi="Times New Roman" w:cs="Times New Roman"/>
          <w:sz w:val="20"/>
          <w:szCs w:val="20"/>
          <w:lang w:val="en-US"/>
        </w:rPr>
        <w:t>Comp</w:t>
      </w:r>
      <w:r w:rsidRPr="00370443">
        <w:rPr>
          <w:rFonts w:ascii="Times New Roman" w:hAnsi="Times New Roman" w:cs="Times New Roman"/>
          <w:sz w:val="20"/>
          <w:szCs w:val="20"/>
          <w:lang w:val="en-US"/>
        </w:rPr>
        <w:t xml:space="preserve">. </w:t>
      </w:r>
      <w:proofErr w:type="spellStart"/>
      <w:r w:rsidRPr="00370443">
        <w:rPr>
          <w:rFonts w:ascii="Times New Roman" w:hAnsi="Times New Roman" w:cs="Times New Roman"/>
          <w:i/>
          <w:sz w:val="20"/>
          <w:szCs w:val="20"/>
          <w:lang w:val="en-US"/>
        </w:rPr>
        <w:t>Kreß</w:t>
      </w:r>
      <w:r>
        <w:rPr>
          <w:rFonts w:ascii="Times New Roman" w:hAnsi="Times New Roman" w:cs="Times New Roman"/>
          <w:i/>
          <w:sz w:val="20"/>
          <w:szCs w:val="20"/>
          <w:lang w:val="en-US"/>
        </w:rPr>
        <w:t>e</w:t>
      </w:r>
      <w:proofErr w:type="spellEnd"/>
      <w:r w:rsidRPr="00E43ACA">
        <w:rPr>
          <w:rFonts w:ascii="Times New Roman" w:hAnsi="Times New Roman" w:cs="Times New Roman"/>
          <w:sz w:val="20"/>
          <w:szCs w:val="20"/>
          <w:lang w:val="en-US"/>
        </w:rPr>
        <w:t>,</w:t>
      </w:r>
      <w:r w:rsidRPr="00370443">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European Union Private Law Review, </w:t>
      </w:r>
      <w:r w:rsidRPr="00E66CF8">
        <w:rPr>
          <w:rFonts w:ascii="Times New Roman" w:hAnsi="Times New Roman" w:cs="Times New Roman"/>
          <w:sz w:val="20"/>
          <w:szCs w:val="20"/>
        </w:rPr>
        <w:t xml:space="preserve">2018, </w:t>
      </w:r>
      <w:r>
        <w:rPr>
          <w:rFonts w:ascii="Times New Roman" w:hAnsi="Times New Roman" w:cs="Times New Roman"/>
          <w:sz w:val="20"/>
          <w:szCs w:val="20"/>
        </w:rPr>
        <w:t>210 (p. 214)</w:t>
      </w:r>
      <w:r w:rsidRPr="00E66CF8">
        <w:rPr>
          <w:rFonts w:ascii="Times New Roman" w:hAnsi="Times New Roman" w:cs="Times New Roman"/>
          <w:sz w:val="20"/>
          <w:szCs w:val="20"/>
        </w:rPr>
        <w:t>.</w:t>
      </w:r>
    </w:p>
  </w:footnote>
  <w:footnote w:id="55">
    <w:p w14:paraId="66FE8022" w14:textId="77BD03D7" w:rsidR="00D13078" w:rsidRPr="00E66CF8" w:rsidRDefault="00D13078" w:rsidP="00A93736">
      <w:pPr>
        <w:pStyle w:val="Funotentext"/>
        <w:rPr>
          <w:rFonts w:ascii="Times New Roman" w:hAnsi="Times New Roman" w:cs="Times New Roman"/>
          <w:sz w:val="20"/>
          <w:szCs w:val="20"/>
        </w:rPr>
      </w:pPr>
      <w:r w:rsidRPr="00E66CF8">
        <w:rPr>
          <w:rStyle w:val="Funotenzeichen"/>
          <w:rFonts w:ascii="Times New Roman" w:hAnsi="Times New Roman" w:cs="Times New Roman"/>
          <w:sz w:val="20"/>
          <w:szCs w:val="20"/>
        </w:rPr>
        <w:footnoteRef/>
      </w:r>
      <w:r w:rsidRPr="00E66CF8">
        <w:rPr>
          <w:rFonts w:ascii="Times New Roman" w:hAnsi="Times New Roman" w:cs="Times New Roman"/>
          <w:sz w:val="20"/>
          <w:szCs w:val="20"/>
        </w:rPr>
        <w:t xml:space="preserve"> </w:t>
      </w:r>
      <w:r>
        <w:rPr>
          <w:rFonts w:ascii="Times New Roman" w:hAnsi="Times New Roman" w:cs="Times New Roman"/>
          <w:sz w:val="20"/>
          <w:szCs w:val="20"/>
        </w:rPr>
        <w:t xml:space="preserve">Comp. </w:t>
      </w:r>
      <w:proofErr w:type="spellStart"/>
      <w:r w:rsidRPr="00E66CF8">
        <w:rPr>
          <w:rFonts w:ascii="Times New Roman" w:hAnsi="Times New Roman" w:cs="Times New Roman"/>
          <w:i/>
          <w:sz w:val="20"/>
          <w:szCs w:val="20"/>
        </w:rPr>
        <w:t>Illmer</w:t>
      </w:r>
      <w:proofErr w:type="spellEnd"/>
      <w:r w:rsidRPr="00A93736">
        <w:rPr>
          <w:rFonts w:ascii="Times New Roman" w:hAnsi="Times New Roman" w:cs="Times New Roman"/>
          <w:sz w:val="20"/>
          <w:szCs w:val="20"/>
        </w:rPr>
        <w:t>,</w:t>
      </w:r>
      <w:r w:rsidRPr="00E66CF8">
        <w:rPr>
          <w:rFonts w:ascii="Times New Roman" w:hAnsi="Times New Roman" w:cs="Times New Roman"/>
          <w:sz w:val="20"/>
          <w:szCs w:val="20"/>
        </w:rPr>
        <w:t xml:space="preserve"> in Huber</w:t>
      </w:r>
      <w:r>
        <w:rPr>
          <w:rFonts w:ascii="Times New Roman" w:hAnsi="Times New Roman" w:cs="Times New Roman"/>
          <w:sz w:val="20"/>
          <w:szCs w:val="20"/>
        </w:rPr>
        <w:t>,</w:t>
      </w:r>
      <w:r w:rsidRPr="00E66CF8">
        <w:rPr>
          <w:rFonts w:ascii="Times New Roman" w:hAnsi="Times New Roman" w:cs="Times New Roman"/>
          <w:sz w:val="20"/>
          <w:szCs w:val="20"/>
        </w:rPr>
        <w:t xml:space="preserve"> </w:t>
      </w:r>
      <w:proofErr w:type="spellStart"/>
      <w:r w:rsidRPr="00E66CF8">
        <w:rPr>
          <w:rFonts w:ascii="Times New Roman" w:hAnsi="Times New Roman" w:cs="Times New Roman"/>
          <w:sz w:val="20"/>
          <w:szCs w:val="20"/>
        </w:rPr>
        <w:t>Rome</w:t>
      </w:r>
      <w:proofErr w:type="spellEnd"/>
      <w:r w:rsidRPr="00E66CF8">
        <w:rPr>
          <w:rFonts w:ascii="Times New Roman" w:hAnsi="Times New Roman" w:cs="Times New Roman"/>
          <w:sz w:val="20"/>
          <w:szCs w:val="20"/>
        </w:rPr>
        <w:t xml:space="preserve"> II Regulation</w:t>
      </w:r>
      <w:r>
        <w:rPr>
          <w:rFonts w:ascii="Times New Roman" w:hAnsi="Times New Roman" w:cs="Times New Roman"/>
          <w:sz w:val="20"/>
          <w:szCs w:val="20"/>
        </w:rPr>
        <w:t>, 2011,</w:t>
      </w:r>
      <w:r w:rsidRPr="00E66CF8">
        <w:rPr>
          <w:rFonts w:ascii="Times New Roman" w:hAnsi="Times New Roman" w:cs="Times New Roman"/>
          <w:sz w:val="20"/>
          <w:szCs w:val="20"/>
        </w:rPr>
        <w:t xml:space="preserve"> Art. 6 </w:t>
      </w:r>
      <w:proofErr w:type="spellStart"/>
      <w:r>
        <w:rPr>
          <w:rFonts w:ascii="Times New Roman" w:hAnsi="Times New Roman" w:cs="Times New Roman"/>
          <w:sz w:val="20"/>
          <w:szCs w:val="20"/>
        </w:rPr>
        <w:t>no</w:t>
      </w:r>
      <w:proofErr w:type="spellEnd"/>
      <w:r w:rsidRPr="00E66CF8">
        <w:rPr>
          <w:rFonts w:ascii="Times New Roman" w:hAnsi="Times New Roman" w:cs="Times New Roman"/>
          <w:sz w:val="20"/>
          <w:szCs w:val="20"/>
        </w:rPr>
        <w:t>. 74.</w:t>
      </w:r>
    </w:p>
  </w:footnote>
  <w:footnote w:id="56">
    <w:p w14:paraId="489DA738" w14:textId="77271BC5" w:rsidR="00D13078" w:rsidRPr="00E66CF8" w:rsidRDefault="00D13078" w:rsidP="00A93736">
      <w:pPr>
        <w:pStyle w:val="Funotentext"/>
        <w:jc w:val="both"/>
        <w:rPr>
          <w:rFonts w:ascii="Times New Roman" w:hAnsi="Times New Roman" w:cs="Times New Roman"/>
          <w:sz w:val="20"/>
          <w:szCs w:val="20"/>
        </w:rPr>
      </w:pPr>
      <w:r w:rsidRPr="00E66CF8">
        <w:rPr>
          <w:rStyle w:val="Funotenzeichen"/>
          <w:rFonts w:ascii="Times New Roman" w:hAnsi="Times New Roman" w:cs="Times New Roman"/>
          <w:sz w:val="20"/>
          <w:szCs w:val="20"/>
        </w:rPr>
        <w:footnoteRef/>
      </w:r>
      <w:r w:rsidRPr="00E66CF8">
        <w:rPr>
          <w:rFonts w:ascii="Times New Roman" w:hAnsi="Times New Roman" w:cs="Times New Roman"/>
          <w:sz w:val="20"/>
          <w:szCs w:val="20"/>
        </w:rPr>
        <w:t xml:space="preserve"> </w:t>
      </w:r>
      <w:r>
        <w:rPr>
          <w:rFonts w:ascii="Times New Roman" w:hAnsi="Times New Roman" w:cs="Times New Roman"/>
          <w:sz w:val="20"/>
          <w:szCs w:val="20"/>
        </w:rPr>
        <w:t>Comp</w:t>
      </w:r>
      <w:r w:rsidRPr="00E66CF8">
        <w:rPr>
          <w:rFonts w:ascii="Times New Roman" w:hAnsi="Times New Roman" w:cs="Times New Roman"/>
          <w:sz w:val="20"/>
          <w:szCs w:val="20"/>
        </w:rPr>
        <w:t xml:space="preserve">. </w:t>
      </w:r>
      <w:proofErr w:type="spellStart"/>
      <w:r w:rsidRPr="00E66CF8">
        <w:rPr>
          <w:rFonts w:ascii="Times New Roman" w:hAnsi="Times New Roman" w:cs="Times New Roman"/>
          <w:i/>
          <w:sz w:val="20"/>
          <w:szCs w:val="20"/>
        </w:rPr>
        <w:t>Kreße</w:t>
      </w:r>
      <w:proofErr w:type="spellEnd"/>
      <w:r w:rsidRPr="00A93736">
        <w:rPr>
          <w:rFonts w:ascii="Times New Roman" w:hAnsi="Times New Roman" w:cs="Times New Roman"/>
          <w:sz w:val="20"/>
          <w:szCs w:val="20"/>
        </w:rPr>
        <w:t>,</w:t>
      </w:r>
      <w:r w:rsidRPr="00E66CF8">
        <w:rPr>
          <w:rFonts w:ascii="Times New Roman" w:hAnsi="Times New Roman" w:cs="Times New Roman"/>
          <w:sz w:val="20"/>
          <w:szCs w:val="20"/>
        </w:rPr>
        <w:t xml:space="preserve"> </w:t>
      </w:r>
      <w:r>
        <w:rPr>
          <w:rFonts w:ascii="Times New Roman" w:hAnsi="Times New Roman" w:cs="Times New Roman"/>
          <w:sz w:val="20"/>
          <w:szCs w:val="20"/>
        </w:rPr>
        <w:t xml:space="preserve">Journal </w:t>
      </w:r>
      <w:proofErr w:type="spellStart"/>
      <w:r>
        <w:rPr>
          <w:rFonts w:ascii="Times New Roman" w:hAnsi="Times New Roman" w:cs="Times New Roman"/>
          <w:sz w:val="20"/>
          <w:szCs w:val="20"/>
        </w:rPr>
        <w:t>of</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Competition</w:t>
      </w:r>
      <w:proofErr w:type="spellEnd"/>
      <w:r>
        <w:rPr>
          <w:rFonts w:ascii="Times New Roman" w:hAnsi="Times New Roman" w:cs="Times New Roman"/>
          <w:sz w:val="20"/>
          <w:szCs w:val="20"/>
        </w:rPr>
        <w:t xml:space="preserve"> Law</w:t>
      </w:r>
      <w:r w:rsidRPr="00E66CF8">
        <w:rPr>
          <w:rFonts w:ascii="Times New Roman" w:hAnsi="Times New Roman" w:cs="Times New Roman"/>
          <w:sz w:val="20"/>
          <w:szCs w:val="20"/>
        </w:rPr>
        <w:t xml:space="preserve"> 2008, 271 (</w:t>
      </w:r>
      <w:r>
        <w:rPr>
          <w:rFonts w:ascii="Times New Roman" w:hAnsi="Times New Roman" w:cs="Times New Roman"/>
          <w:sz w:val="20"/>
          <w:szCs w:val="20"/>
        </w:rPr>
        <w:t xml:space="preserve">p. </w:t>
      </w:r>
      <w:r w:rsidRPr="00E66CF8">
        <w:rPr>
          <w:rFonts w:ascii="Times New Roman" w:hAnsi="Times New Roman" w:cs="Times New Roman"/>
          <w:sz w:val="20"/>
          <w:szCs w:val="20"/>
        </w:rPr>
        <w:t>273).</w:t>
      </w:r>
    </w:p>
  </w:footnote>
  <w:footnote w:id="57">
    <w:p w14:paraId="3CEE4E93" w14:textId="69FC16F6" w:rsidR="00D13078" w:rsidRPr="00CD28D8" w:rsidRDefault="00D13078" w:rsidP="00A93736">
      <w:pPr>
        <w:pStyle w:val="Funotentext"/>
        <w:jc w:val="both"/>
        <w:rPr>
          <w:rFonts w:ascii="Times New Roman" w:hAnsi="Times New Roman" w:cs="Times New Roman"/>
          <w:sz w:val="20"/>
          <w:szCs w:val="20"/>
          <w:lang w:val="en-US"/>
        </w:rPr>
      </w:pPr>
      <w:r w:rsidRPr="00E66CF8">
        <w:rPr>
          <w:rStyle w:val="Funotenzeichen"/>
          <w:rFonts w:ascii="Times New Roman" w:hAnsi="Times New Roman" w:cs="Times New Roman"/>
          <w:sz w:val="20"/>
          <w:szCs w:val="20"/>
        </w:rPr>
        <w:footnoteRef/>
      </w:r>
      <w:r w:rsidRPr="00E66CF8">
        <w:rPr>
          <w:rFonts w:ascii="Times New Roman" w:hAnsi="Times New Roman" w:cs="Times New Roman"/>
          <w:sz w:val="20"/>
          <w:szCs w:val="20"/>
        </w:rPr>
        <w:t xml:space="preserve"> </w:t>
      </w:r>
      <w:r>
        <w:rPr>
          <w:rFonts w:ascii="Times New Roman" w:hAnsi="Times New Roman" w:cs="Times New Roman"/>
          <w:sz w:val="20"/>
          <w:szCs w:val="20"/>
        </w:rPr>
        <w:t xml:space="preserve">See in </w:t>
      </w:r>
      <w:proofErr w:type="spellStart"/>
      <w:r>
        <w:rPr>
          <w:rFonts w:ascii="Times New Roman" w:hAnsi="Times New Roman" w:cs="Times New Roman"/>
          <w:sz w:val="20"/>
          <w:szCs w:val="20"/>
        </w:rPr>
        <w:t>detail</w:t>
      </w:r>
      <w:proofErr w:type="spellEnd"/>
      <w:r>
        <w:rPr>
          <w:rFonts w:ascii="Times New Roman" w:hAnsi="Times New Roman" w:cs="Times New Roman"/>
          <w:sz w:val="20"/>
          <w:szCs w:val="20"/>
        </w:rPr>
        <w:t xml:space="preserve"> </w:t>
      </w:r>
      <w:proofErr w:type="spellStart"/>
      <w:r w:rsidRPr="00E66CF8">
        <w:rPr>
          <w:rFonts w:ascii="Times New Roman" w:hAnsi="Times New Roman" w:cs="Times New Roman"/>
          <w:i/>
          <w:sz w:val="20"/>
          <w:szCs w:val="20"/>
        </w:rPr>
        <w:t>Wurmnest</w:t>
      </w:r>
      <w:proofErr w:type="spellEnd"/>
      <w:r w:rsidRPr="00CD28D8">
        <w:rPr>
          <w:rFonts w:ascii="Times New Roman" w:hAnsi="Times New Roman" w:cs="Times New Roman"/>
          <w:sz w:val="20"/>
          <w:szCs w:val="20"/>
        </w:rPr>
        <w:t>,</w:t>
      </w:r>
      <w:r w:rsidRPr="00E66CF8">
        <w:rPr>
          <w:rFonts w:ascii="Times New Roman" w:hAnsi="Times New Roman" w:cs="Times New Roman"/>
          <w:sz w:val="20"/>
          <w:szCs w:val="20"/>
        </w:rPr>
        <w:t xml:space="preserve"> </w:t>
      </w:r>
      <w:r>
        <w:rPr>
          <w:rFonts w:ascii="Times New Roman" w:hAnsi="Times New Roman" w:cs="Times New Roman"/>
          <w:sz w:val="20"/>
          <w:szCs w:val="20"/>
        </w:rPr>
        <w:t xml:space="preserve">Neue Zeitschrift für Kartellrecht </w:t>
      </w:r>
      <w:r w:rsidRPr="00E66CF8">
        <w:rPr>
          <w:rFonts w:ascii="Times New Roman" w:hAnsi="Times New Roman" w:cs="Times New Roman"/>
          <w:sz w:val="20"/>
          <w:szCs w:val="20"/>
        </w:rPr>
        <w:t>2017, 1 (</w:t>
      </w:r>
      <w:r>
        <w:rPr>
          <w:rFonts w:ascii="Times New Roman" w:hAnsi="Times New Roman" w:cs="Times New Roman"/>
          <w:sz w:val="20"/>
          <w:szCs w:val="20"/>
        </w:rPr>
        <w:t xml:space="preserve">p. </w:t>
      </w:r>
      <w:r w:rsidRPr="00E66CF8">
        <w:rPr>
          <w:rFonts w:ascii="Times New Roman" w:hAnsi="Times New Roman" w:cs="Times New Roman"/>
          <w:sz w:val="20"/>
          <w:szCs w:val="20"/>
        </w:rPr>
        <w:t xml:space="preserve">5) </w:t>
      </w:r>
      <w:proofErr w:type="spellStart"/>
      <w:r>
        <w:rPr>
          <w:rFonts w:ascii="Times New Roman" w:hAnsi="Times New Roman" w:cs="Times New Roman"/>
          <w:sz w:val="20"/>
          <w:szCs w:val="20"/>
        </w:rPr>
        <w:t>with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further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references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with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respect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difficulties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concerning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similar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problem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of</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determination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of</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place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where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harmful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event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occu</w:t>
      </w:r>
      <w:r>
        <w:rPr>
          <w:rFonts w:ascii="Times New Roman" w:hAnsi="Times New Roman" w:cs="Times New Roman"/>
          <w:sz w:val="20"/>
          <w:szCs w:val="20"/>
        </w:rPr>
        <w:t>r</w:t>
      </w:r>
      <w:r>
        <w:rPr>
          <w:rFonts w:ascii="Times New Roman" w:hAnsi="Times New Roman" w:cs="Times New Roman"/>
          <w:sz w:val="20"/>
          <w:szCs w:val="20"/>
        </w:rPr>
        <w:t>red</w:t>
      </w:r>
      <w:proofErr w:type="spellEnd"/>
      <w:r>
        <w:rPr>
          <w:rFonts w:ascii="Times New Roman" w:hAnsi="Times New Roman" w:cs="Times New Roman"/>
          <w:sz w:val="20"/>
          <w:szCs w:val="20"/>
        </w:rPr>
        <w:t xml:space="preserve"> in </w:t>
      </w:r>
      <w:proofErr w:type="spellStart"/>
      <w:r>
        <w:rPr>
          <w:rFonts w:ascii="Times New Roman" w:hAnsi="Times New Roman" w:cs="Times New Roman"/>
          <w:sz w:val="20"/>
          <w:szCs w:val="20"/>
        </w:rPr>
        <w:t>case</w:t>
      </w:r>
      <w:proofErr w:type="spellEnd"/>
      <w:r>
        <w:rPr>
          <w:rFonts w:ascii="Times New Roman" w:hAnsi="Times New Roman" w:cs="Times New Roman"/>
          <w:sz w:val="20"/>
          <w:szCs w:val="20"/>
        </w:rPr>
        <w:t xml:space="preserve"> </w:t>
      </w:r>
      <w:r w:rsidRPr="00CD28D8">
        <w:rPr>
          <w:rFonts w:ascii="Times New Roman" w:hAnsi="Times New Roman" w:cs="Times New Roman"/>
          <w:sz w:val="20"/>
          <w:szCs w:val="20"/>
          <w:lang w:val="en-US"/>
        </w:rPr>
        <w:t>of cartel damages.</w:t>
      </w:r>
    </w:p>
  </w:footnote>
  <w:footnote w:id="58">
    <w:p w14:paraId="795745D0" w14:textId="45AAE8B8" w:rsidR="00D13078" w:rsidRPr="00CD28D8" w:rsidRDefault="00D13078" w:rsidP="00A93736">
      <w:pPr>
        <w:pStyle w:val="Funotentext"/>
        <w:jc w:val="both"/>
        <w:rPr>
          <w:rFonts w:ascii="Times New Roman" w:hAnsi="Times New Roman" w:cs="Times New Roman"/>
          <w:sz w:val="20"/>
          <w:szCs w:val="20"/>
          <w:lang w:val="en-US"/>
        </w:rPr>
      </w:pPr>
      <w:r w:rsidRPr="00CD28D8">
        <w:rPr>
          <w:rStyle w:val="Funotenzeichen"/>
          <w:rFonts w:ascii="Times New Roman" w:hAnsi="Times New Roman" w:cs="Times New Roman"/>
          <w:sz w:val="20"/>
          <w:szCs w:val="20"/>
          <w:lang w:val="en-US"/>
        </w:rPr>
        <w:footnoteRef/>
      </w:r>
      <w:r w:rsidRPr="00CD28D8">
        <w:rPr>
          <w:rFonts w:ascii="Times New Roman" w:hAnsi="Times New Roman" w:cs="Times New Roman"/>
          <w:sz w:val="20"/>
          <w:szCs w:val="20"/>
          <w:lang w:val="en-US"/>
        </w:rPr>
        <w:t xml:space="preserve"> See </w:t>
      </w:r>
      <w:proofErr w:type="spellStart"/>
      <w:r w:rsidRPr="00CD28D8">
        <w:rPr>
          <w:rFonts w:ascii="Times New Roman" w:hAnsi="Times New Roman" w:cs="Times New Roman"/>
          <w:i/>
          <w:sz w:val="20"/>
          <w:szCs w:val="20"/>
          <w:lang w:val="en-US"/>
        </w:rPr>
        <w:t>Illmer</w:t>
      </w:r>
      <w:proofErr w:type="spellEnd"/>
      <w:r w:rsidRPr="00CD28D8">
        <w:rPr>
          <w:rFonts w:ascii="Times New Roman" w:hAnsi="Times New Roman" w:cs="Times New Roman"/>
          <w:sz w:val="20"/>
          <w:szCs w:val="20"/>
          <w:lang w:val="en-US"/>
        </w:rPr>
        <w:t xml:space="preserve"> in Huber, Rome II Regulation, 2011, Art. 6 no. 74; </w:t>
      </w:r>
      <w:proofErr w:type="spellStart"/>
      <w:r w:rsidRPr="00CD28D8">
        <w:rPr>
          <w:rFonts w:ascii="Times New Roman" w:hAnsi="Times New Roman" w:cs="Times New Roman"/>
          <w:i/>
          <w:sz w:val="20"/>
          <w:szCs w:val="20"/>
          <w:lang w:val="en-US"/>
        </w:rPr>
        <w:t>Plender</w:t>
      </w:r>
      <w:proofErr w:type="spellEnd"/>
      <w:r w:rsidRPr="00CD28D8">
        <w:rPr>
          <w:rFonts w:ascii="Times New Roman" w:hAnsi="Times New Roman" w:cs="Times New Roman"/>
          <w:i/>
          <w:sz w:val="20"/>
          <w:szCs w:val="20"/>
          <w:lang w:val="en-US"/>
        </w:rPr>
        <w:t>/</w:t>
      </w:r>
      <w:proofErr w:type="spellStart"/>
      <w:r w:rsidRPr="00CD28D8">
        <w:rPr>
          <w:rFonts w:ascii="Times New Roman" w:hAnsi="Times New Roman" w:cs="Times New Roman"/>
          <w:i/>
          <w:sz w:val="20"/>
          <w:szCs w:val="20"/>
          <w:lang w:val="en-US"/>
        </w:rPr>
        <w:t>Wilderspin</w:t>
      </w:r>
      <w:proofErr w:type="spellEnd"/>
      <w:r w:rsidRPr="00CD28D8">
        <w:rPr>
          <w:rFonts w:ascii="Times New Roman" w:hAnsi="Times New Roman" w:cs="Times New Roman"/>
          <w:sz w:val="20"/>
          <w:szCs w:val="20"/>
          <w:lang w:val="en-US"/>
        </w:rPr>
        <w:t>, The European Private I</w:t>
      </w:r>
      <w:r w:rsidRPr="00CD28D8">
        <w:rPr>
          <w:rFonts w:ascii="Times New Roman" w:hAnsi="Times New Roman" w:cs="Times New Roman"/>
          <w:sz w:val="20"/>
          <w:szCs w:val="20"/>
          <w:lang w:val="en-US"/>
        </w:rPr>
        <w:t>n</w:t>
      </w:r>
      <w:r w:rsidRPr="00CD28D8">
        <w:rPr>
          <w:rFonts w:ascii="Times New Roman" w:hAnsi="Times New Roman" w:cs="Times New Roman"/>
          <w:sz w:val="20"/>
          <w:szCs w:val="20"/>
          <w:lang w:val="en-US"/>
        </w:rPr>
        <w:t>ternational Law of Obligations, 4</w:t>
      </w:r>
      <w:r w:rsidRPr="00CD28D8">
        <w:rPr>
          <w:rFonts w:ascii="Times New Roman" w:hAnsi="Times New Roman" w:cs="Times New Roman"/>
          <w:sz w:val="20"/>
          <w:szCs w:val="20"/>
          <w:vertAlign w:val="superscript"/>
          <w:lang w:val="en-US"/>
        </w:rPr>
        <w:t>th</w:t>
      </w:r>
      <w:r>
        <w:rPr>
          <w:rFonts w:ascii="Times New Roman" w:hAnsi="Times New Roman" w:cs="Times New Roman"/>
          <w:sz w:val="20"/>
          <w:szCs w:val="20"/>
          <w:lang w:val="en-US"/>
        </w:rPr>
        <w:t xml:space="preserve"> ed</w:t>
      </w:r>
      <w:r w:rsidRPr="00CD28D8">
        <w:rPr>
          <w:rFonts w:ascii="Times New Roman" w:hAnsi="Times New Roman" w:cs="Times New Roman"/>
          <w:sz w:val="20"/>
          <w:szCs w:val="20"/>
          <w:lang w:val="en-US"/>
        </w:rPr>
        <w:t xml:space="preserve">. 2015, </w:t>
      </w:r>
      <w:r>
        <w:rPr>
          <w:rFonts w:ascii="Times New Roman" w:hAnsi="Times New Roman" w:cs="Times New Roman"/>
          <w:sz w:val="20"/>
          <w:szCs w:val="20"/>
          <w:lang w:val="en-US"/>
        </w:rPr>
        <w:t>no</w:t>
      </w:r>
      <w:r w:rsidRPr="00CD28D8">
        <w:rPr>
          <w:rFonts w:ascii="Times New Roman" w:hAnsi="Times New Roman" w:cs="Times New Roman"/>
          <w:sz w:val="20"/>
          <w:szCs w:val="20"/>
          <w:lang w:val="en-US"/>
        </w:rPr>
        <w:t>. 20-039.</w:t>
      </w:r>
    </w:p>
  </w:footnote>
  <w:footnote w:id="59">
    <w:p w14:paraId="7A4D2382" w14:textId="4F5DA8FD" w:rsidR="00D13078" w:rsidRPr="008745C2" w:rsidRDefault="00D13078" w:rsidP="00A93736">
      <w:pPr>
        <w:pStyle w:val="Funotentext"/>
        <w:jc w:val="both"/>
        <w:rPr>
          <w:rFonts w:ascii="Times New Roman" w:hAnsi="Times New Roman" w:cs="Times New Roman"/>
          <w:sz w:val="20"/>
          <w:szCs w:val="20"/>
          <w:lang w:val="en-US"/>
        </w:rPr>
      </w:pPr>
      <w:r w:rsidRPr="00CD28D8">
        <w:rPr>
          <w:rStyle w:val="Funotenzeichen"/>
          <w:rFonts w:ascii="Times New Roman" w:hAnsi="Times New Roman" w:cs="Times New Roman"/>
          <w:sz w:val="20"/>
          <w:szCs w:val="20"/>
          <w:lang w:val="en-US"/>
        </w:rPr>
        <w:footnoteRef/>
      </w:r>
      <w:r w:rsidRPr="00CD28D8">
        <w:rPr>
          <w:rFonts w:ascii="Times New Roman" w:hAnsi="Times New Roman" w:cs="Times New Roman"/>
          <w:sz w:val="20"/>
          <w:szCs w:val="20"/>
          <w:lang w:val="en-US"/>
        </w:rPr>
        <w:t xml:space="preserve"> </w:t>
      </w:r>
      <w:r>
        <w:rPr>
          <w:rFonts w:ascii="Times New Roman" w:hAnsi="Times New Roman" w:cs="Times New Roman"/>
          <w:sz w:val="20"/>
          <w:szCs w:val="20"/>
          <w:lang w:val="en-US"/>
        </w:rPr>
        <w:t>Comp</w:t>
      </w:r>
      <w:r w:rsidRPr="00CD28D8">
        <w:rPr>
          <w:rFonts w:ascii="Times New Roman" w:hAnsi="Times New Roman" w:cs="Times New Roman"/>
          <w:sz w:val="20"/>
          <w:szCs w:val="20"/>
          <w:lang w:val="en-US"/>
        </w:rPr>
        <w:t xml:space="preserve">. </w:t>
      </w:r>
      <w:r>
        <w:rPr>
          <w:rFonts w:ascii="Times New Roman" w:hAnsi="Times New Roman" w:cs="Times New Roman"/>
          <w:sz w:val="20"/>
          <w:szCs w:val="20"/>
          <w:lang w:val="en-US"/>
        </w:rPr>
        <w:t>ECJ 7/28/</w:t>
      </w:r>
      <w:r w:rsidRPr="00CD28D8">
        <w:rPr>
          <w:rFonts w:ascii="Times New Roman" w:hAnsi="Times New Roman" w:cs="Times New Roman"/>
          <w:sz w:val="20"/>
          <w:szCs w:val="20"/>
          <w:lang w:val="en-US"/>
        </w:rPr>
        <w:t xml:space="preserve">2016 – C-102/15, </w:t>
      </w:r>
      <w:r>
        <w:rPr>
          <w:rFonts w:ascii="Times New Roman" w:hAnsi="Times New Roman" w:cs="Times New Roman"/>
          <w:sz w:val="20"/>
          <w:szCs w:val="20"/>
          <w:lang w:val="en-US"/>
        </w:rPr>
        <w:t>ECLI</w:t>
      </w:r>
      <w:proofErr w:type="gramStart"/>
      <w:r>
        <w:rPr>
          <w:rFonts w:ascii="Times New Roman" w:hAnsi="Times New Roman" w:cs="Times New Roman"/>
          <w:sz w:val="20"/>
          <w:szCs w:val="20"/>
          <w:lang w:val="en-US"/>
        </w:rPr>
        <w:t>:EU:C:2016:607</w:t>
      </w:r>
      <w:proofErr w:type="gramEnd"/>
      <w:r w:rsidRPr="00CD28D8">
        <w:rPr>
          <w:rFonts w:ascii="Times New Roman" w:hAnsi="Times New Roman" w:cs="Times New Roman"/>
          <w:sz w:val="20"/>
          <w:szCs w:val="20"/>
          <w:lang w:val="en-US"/>
        </w:rPr>
        <w:t xml:space="preserve"> </w:t>
      </w:r>
      <w:r>
        <w:rPr>
          <w:rFonts w:ascii="Times New Roman" w:hAnsi="Times New Roman" w:cs="Times New Roman"/>
          <w:sz w:val="20"/>
          <w:szCs w:val="20"/>
          <w:lang w:val="en-US"/>
        </w:rPr>
        <w:t>nos</w:t>
      </w:r>
      <w:r w:rsidRPr="00CD28D8">
        <w:rPr>
          <w:rFonts w:ascii="Times New Roman" w:hAnsi="Times New Roman" w:cs="Times New Roman"/>
          <w:sz w:val="20"/>
          <w:szCs w:val="20"/>
          <w:lang w:val="en-US"/>
        </w:rPr>
        <w:t xml:space="preserve">. 34 </w:t>
      </w:r>
      <w:r>
        <w:rPr>
          <w:rFonts w:ascii="Times New Roman" w:hAnsi="Times New Roman" w:cs="Times New Roman"/>
          <w:sz w:val="20"/>
          <w:szCs w:val="20"/>
          <w:lang w:val="en-US"/>
        </w:rPr>
        <w:t>et seq</w:t>
      </w:r>
      <w:r w:rsidRPr="00CD28D8">
        <w:rPr>
          <w:rFonts w:ascii="Times New Roman" w:hAnsi="Times New Roman" w:cs="Times New Roman"/>
          <w:sz w:val="20"/>
          <w:szCs w:val="20"/>
          <w:lang w:val="en-US"/>
        </w:rPr>
        <w:t xml:space="preserve">. – Siemens AG </w:t>
      </w:r>
      <w:proofErr w:type="spellStart"/>
      <w:r w:rsidRPr="00CD28D8">
        <w:rPr>
          <w:rFonts w:ascii="Times New Roman" w:hAnsi="Times New Roman" w:cs="Times New Roman"/>
          <w:sz w:val="20"/>
          <w:szCs w:val="20"/>
          <w:lang w:val="en-US"/>
        </w:rPr>
        <w:t>Österreich</w:t>
      </w:r>
      <w:proofErr w:type="spellEnd"/>
      <w:r w:rsidRPr="00CD28D8">
        <w:rPr>
          <w:rFonts w:ascii="Times New Roman" w:hAnsi="Times New Roman" w:cs="Times New Roman"/>
          <w:sz w:val="20"/>
          <w:szCs w:val="20"/>
          <w:lang w:val="en-US"/>
        </w:rPr>
        <w:t xml:space="preserve"> </w:t>
      </w:r>
      <w:r>
        <w:rPr>
          <w:rFonts w:ascii="Times New Roman" w:hAnsi="Times New Roman" w:cs="Times New Roman"/>
          <w:sz w:val="20"/>
          <w:szCs w:val="20"/>
          <w:lang w:val="en-US"/>
        </w:rPr>
        <w:t>with a</w:t>
      </w:r>
      <w:r>
        <w:rPr>
          <w:rFonts w:ascii="Times New Roman" w:hAnsi="Times New Roman" w:cs="Times New Roman"/>
          <w:sz w:val="20"/>
          <w:szCs w:val="20"/>
          <w:lang w:val="en-US"/>
        </w:rPr>
        <w:t>p</w:t>
      </w:r>
      <w:r>
        <w:rPr>
          <w:rFonts w:ascii="Times New Roman" w:hAnsi="Times New Roman" w:cs="Times New Roman"/>
          <w:sz w:val="20"/>
          <w:szCs w:val="20"/>
          <w:lang w:val="en-US"/>
        </w:rPr>
        <w:t>proving notes of</w:t>
      </w:r>
      <w:r w:rsidRPr="00CD28D8">
        <w:rPr>
          <w:rFonts w:ascii="Times New Roman" w:hAnsi="Times New Roman" w:cs="Times New Roman"/>
          <w:sz w:val="20"/>
          <w:szCs w:val="20"/>
          <w:lang w:val="en-US"/>
        </w:rPr>
        <w:t xml:space="preserve">. </w:t>
      </w:r>
      <w:proofErr w:type="spellStart"/>
      <w:r w:rsidRPr="00CD28D8">
        <w:rPr>
          <w:rFonts w:ascii="Times New Roman" w:hAnsi="Times New Roman" w:cs="Times New Roman"/>
          <w:i/>
          <w:sz w:val="20"/>
          <w:szCs w:val="20"/>
          <w:lang w:val="en-US"/>
        </w:rPr>
        <w:t>Wurmnest</w:t>
      </w:r>
      <w:proofErr w:type="spellEnd"/>
      <w:r>
        <w:rPr>
          <w:rFonts w:ascii="Times New Roman" w:hAnsi="Times New Roman" w:cs="Times New Roman"/>
          <w:i/>
          <w:sz w:val="20"/>
          <w:szCs w:val="20"/>
          <w:lang w:val="en-US"/>
        </w:rPr>
        <w:t>,</w:t>
      </w:r>
      <w:r w:rsidRPr="00CD28D8">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Europäische</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Zeitschrift</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für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Wirtschaftsrecht</w:t>
      </w:r>
      <w:proofErr w:type="spellEnd"/>
      <w:r w:rsidRPr="00CD28D8">
        <w:rPr>
          <w:rFonts w:ascii="Times New Roman" w:hAnsi="Times New Roman" w:cs="Times New Roman"/>
          <w:sz w:val="20"/>
          <w:szCs w:val="20"/>
          <w:lang w:val="en-US"/>
        </w:rPr>
        <w:t xml:space="preserve"> 2016, 784 </w:t>
      </w:r>
      <w:r>
        <w:rPr>
          <w:rFonts w:ascii="Times New Roman" w:hAnsi="Times New Roman" w:cs="Times New Roman"/>
          <w:sz w:val="20"/>
          <w:szCs w:val="20"/>
          <w:lang w:val="en-US"/>
        </w:rPr>
        <w:t>et seq.</w:t>
      </w:r>
      <w:r w:rsidRPr="00CD28D8">
        <w:rPr>
          <w:rFonts w:ascii="Times New Roman" w:hAnsi="Times New Roman" w:cs="Times New Roman"/>
          <w:sz w:val="20"/>
          <w:szCs w:val="20"/>
          <w:lang w:val="en-US"/>
        </w:rPr>
        <w:t xml:space="preserve">; </w:t>
      </w:r>
      <w:r>
        <w:rPr>
          <w:rFonts w:ascii="Times New Roman" w:hAnsi="Times New Roman" w:cs="Times New Roman"/>
          <w:sz w:val="20"/>
          <w:szCs w:val="20"/>
          <w:lang w:val="en-US"/>
        </w:rPr>
        <w:t>see also</w:t>
      </w:r>
      <w:r w:rsidRPr="00CD28D8">
        <w:rPr>
          <w:rFonts w:ascii="Times New Roman" w:hAnsi="Times New Roman" w:cs="Times New Roman"/>
          <w:sz w:val="20"/>
          <w:szCs w:val="20"/>
          <w:lang w:val="en-US"/>
        </w:rPr>
        <w:t xml:space="preserve"> </w:t>
      </w:r>
      <w:proofErr w:type="spellStart"/>
      <w:r w:rsidRPr="00CD28D8">
        <w:rPr>
          <w:rFonts w:ascii="Times New Roman" w:hAnsi="Times New Roman" w:cs="Times New Roman"/>
          <w:i/>
          <w:sz w:val="20"/>
          <w:szCs w:val="20"/>
          <w:lang w:val="en-US"/>
        </w:rPr>
        <w:t>Kreße</w:t>
      </w:r>
      <w:proofErr w:type="spellEnd"/>
      <w:r>
        <w:rPr>
          <w:rFonts w:ascii="Times New Roman" w:hAnsi="Times New Roman" w:cs="Times New Roman"/>
          <w:sz w:val="20"/>
          <w:szCs w:val="20"/>
          <w:lang w:val="en-US"/>
        </w:rPr>
        <w:t>, E</w:t>
      </w:r>
      <w:r>
        <w:rPr>
          <w:rFonts w:ascii="Times New Roman" w:hAnsi="Times New Roman" w:cs="Times New Roman"/>
          <w:sz w:val="20"/>
          <w:szCs w:val="20"/>
          <w:lang w:val="en-US"/>
        </w:rPr>
        <w:t>u</w:t>
      </w:r>
      <w:r>
        <w:rPr>
          <w:rFonts w:ascii="Times New Roman" w:hAnsi="Times New Roman" w:cs="Times New Roman"/>
          <w:sz w:val="20"/>
          <w:szCs w:val="20"/>
          <w:lang w:val="en-US"/>
        </w:rPr>
        <w:t xml:space="preserve">ropean Union </w:t>
      </w:r>
      <w:r w:rsidRPr="008745C2">
        <w:rPr>
          <w:rFonts w:ascii="Times New Roman" w:hAnsi="Times New Roman" w:cs="Times New Roman"/>
          <w:sz w:val="20"/>
          <w:szCs w:val="20"/>
          <w:lang w:val="en-US"/>
        </w:rPr>
        <w:t xml:space="preserve">Private Law Review 2018, 210 (p. 215). </w:t>
      </w:r>
    </w:p>
  </w:footnote>
  <w:footnote w:id="60">
    <w:p w14:paraId="3E8D4A45" w14:textId="38F90E80" w:rsidR="00D13078" w:rsidRPr="008745C2" w:rsidRDefault="00D13078" w:rsidP="008745C2">
      <w:pPr>
        <w:pStyle w:val="Funotentext"/>
        <w:jc w:val="both"/>
        <w:rPr>
          <w:rFonts w:ascii="Times New Roman" w:hAnsi="Times New Roman" w:cs="Times New Roman"/>
          <w:sz w:val="20"/>
          <w:szCs w:val="20"/>
          <w:lang w:val="en-US"/>
        </w:rPr>
      </w:pPr>
      <w:r w:rsidRPr="008745C2">
        <w:rPr>
          <w:rStyle w:val="Funotenzeichen"/>
          <w:rFonts w:ascii="Times New Roman" w:hAnsi="Times New Roman" w:cs="Times New Roman"/>
          <w:sz w:val="20"/>
          <w:szCs w:val="20"/>
          <w:lang w:val="en-US"/>
        </w:rPr>
        <w:footnoteRef/>
      </w:r>
      <w:r w:rsidRPr="008745C2">
        <w:rPr>
          <w:rFonts w:ascii="Times New Roman" w:hAnsi="Times New Roman" w:cs="Times New Roman"/>
          <w:sz w:val="20"/>
          <w:szCs w:val="20"/>
          <w:lang w:val="en-US"/>
        </w:rPr>
        <w:t xml:space="preserve"> </w:t>
      </w:r>
      <w:proofErr w:type="spellStart"/>
      <w:proofErr w:type="gramStart"/>
      <w:r w:rsidRPr="008745C2">
        <w:rPr>
          <w:rFonts w:ascii="Times New Roman" w:hAnsi="Times New Roman" w:cs="Times New Roman"/>
          <w:i/>
          <w:sz w:val="20"/>
          <w:szCs w:val="20"/>
          <w:lang w:val="en-US"/>
        </w:rPr>
        <w:t>Hellner</w:t>
      </w:r>
      <w:proofErr w:type="spellEnd"/>
      <w:r w:rsidRPr="008745C2">
        <w:rPr>
          <w:rFonts w:ascii="Times New Roman" w:hAnsi="Times New Roman" w:cs="Times New Roman"/>
          <w:sz w:val="20"/>
          <w:szCs w:val="20"/>
          <w:lang w:val="en-US"/>
        </w:rPr>
        <w:t xml:space="preserve">, Yearbook of Private International Law vol. 9 (2007), 49 (p. 69); </w:t>
      </w:r>
      <w:proofErr w:type="spellStart"/>
      <w:r w:rsidRPr="008745C2">
        <w:rPr>
          <w:rFonts w:ascii="Times New Roman" w:hAnsi="Times New Roman" w:cs="Times New Roman"/>
          <w:i/>
          <w:sz w:val="20"/>
          <w:szCs w:val="20"/>
          <w:lang w:val="en-US"/>
        </w:rPr>
        <w:t>Illmer</w:t>
      </w:r>
      <w:proofErr w:type="spellEnd"/>
      <w:r w:rsidRPr="008745C2">
        <w:rPr>
          <w:rFonts w:ascii="Times New Roman" w:hAnsi="Times New Roman" w:cs="Times New Roman"/>
          <w:sz w:val="20"/>
          <w:szCs w:val="20"/>
          <w:lang w:val="en-US"/>
        </w:rPr>
        <w:t>, in Huber, Rome II Regul</w:t>
      </w:r>
      <w:r w:rsidRPr="008745C2">
        <w:rPr>
          <w:rFonts w:ascii="Times New Roman" w:hAnsi="Times New Roman" w:cs="Times New Roman"/>
          <w:sz w:val="20"/>
          <w:szCs w:val="20"/>
          <w:lang w:val="en-US"/>
        </w:rPr>
        <w:t>a</w:t>
      </w:r>
      <w:r w:rsidRPr="008745C2">
        <w:rPr>
          <w:rFonts w:ascii="Times New Roman" w:hAnsi="Times New Roman" w:cs="Times New Roman"/>
          <w:sz w:val="20"/>
          <w:szCs w:val="20"/>
          <w:lang w:val="en-US"/>
        </w:rPr>
        <w:t>tion, 2011, Art.</w:t>
      </w:r>
      <w:proofErr w:type="gramEnd"/>
      <w:r w:rsidRPr="008745C2">
        <w:rPr>
          <w:rFonts w:ascii="Times New Roman" w:hAnsi="Times New Roman" w:cs="Times New Roman"/>
          <w:sz w:val="20"/>
          <w:szCs w:val="20"/>
          <w:lang w:val="en-US"/>
        </w:rPr>
        <w:t xml:space="preserve"> 6 no. 74; </w:t>
      </w:r>
      <w:proofErr w:type="spellStart"/>
      <w:r w:rsidRPr="008745C2">
        <w:rPr>
          <w:rFonts w:ascii="Times New Roman" w:hAnsi="Times New Roman" w:cs="Times New Roman"/>
          <w:i/>
          <w:sz w:val="20"/>
          <w:szCs w:val="20"/>
          <w:lang w:val="en-US"/>
        </w:rPr>
        <w:t>Plender</w:t>
      </w:r>
      <w:proofErr w:type="spellEnd"/>
      <w:r w:rsidRPr="008745C2">
        <w:rPr>
          <w:rFonts w:ascii="Times New Roman" w:hAnsi="Times New Roman" w:cs="Times New Roman"/>
          <w:i/>
          <w:sz w:val="20"/>
          <w:szCs w:val="20"/>
          <w:lang w:val="en-US"/>
        </w:rPr>
        <w:t>/</w:t>
      </w:r>
      <w:proofErr w:type="spellStart"/>
      <w:r w:rsidRPr="008745C2">
        <w:rPr>
          <w:rFonts w:ascii="Times New Roman" w:hAnsi="Times New Roman" w:cs="Times New Roman"/>
          <w:i/>
          <w:sz w:val="20"/>
          <w:szCs w:val="20"/>
          <w:lang w:val="en-US"/>
        </w:rPr>
        <w:t>Wilderspin</w:t>
      </w:r>
      <w:proofErr w:type="spellEnd"/>
      <w:r w:rsidRPr="008745C2">
        <w:rPr>
          <w:rFonts w:ascii="Times New Roman" w:hAnsi="Times New Roman" w:cs="Times New Roman"/>
          <w:sz w:val="20"/>
          <w:szCs w:val="20"/>
          <w:lang w:val="en-US"/>
        </w:rPr>
        <w:t>, The European Private International Law of Obligations, 4</w:t>
      </w:r>
      <w:r w:rsidRPr="008745C2">
        <w:rPr>
          <w:rFonts w:ascii="Times New Roman" w:hAnsi="Times New Roman" w:cs="Times New Roman"/>
          <w:sz w:val="20"/>
          <w:szCs w:val="20"/>
          <w:vertAlign w:val="superscript"/>
          <w:lang w:val="en-US"/>
        </w:rPr>
        <w:t>th</w:t>
      </w:r>
      <w:r w:rsidRPr="008745C2">
        <w:rPr>
          <w:rFonts w:ascii="Times New Roman" w:hAnsi="Times New Roman" w:cs="Times New Roman"/>
          <w:sz w:val="20"/>
          <w:szCs w:val="20"/>
          <w:lang w:val="en-US"/>
        </w:rPr>
        <w:t xml:space="preserve"> ed. 2015, no. 20-039; </w:t>
      </w:r>
      <w:proofErr w:type="spellStart"/>
      <w:r w:rsidRPr="008745C2">
        <w:rPr>
          <w:rFonts w:ascii="Times New Roman" w:hAnsi="Times New Roman" w:cs="Times New Roman"/>
          <w:i/>
          <w:sz w:val="20"/>
          <w:szCs w:val="20"/>
          <w:lang w:val="en-US"/>
        </w:rPr>
        <w:t>Wurmnest</w:t>
      </w:r>
      <w:proofErr w:type="spellEnd"/>
      <w:r w:rsidRPr="008745C2">
        <w:rPr>
          <w:rFonts w:ascii="Times New Roman" w:hAnsi="Times New Roman" w:cs="Times New Roman"/>
          <w:sz w:val="20"/>
          <w:szCs w:val="20"/>
          <w:lang w:val="en-US"/>
        </w:rPr>
        <w:t xml:space="preserve">, in </w:t>
      </w:r>
      <w:proofErr w:type="spellStart"/>
      <w:r w:rsidRPr="008745C2">
        <w:rPr>
          <w:rFonts w:ascii="Times New Roman" w:hAnsi="Times New Roman" w:cs="Times New Roman"/>
          <w:sz w:val="20"/>
          <w:szCs w:val="20"/>
          <w:lang w:val="en-US"/>
        </w:rPr>
        <w:t>Münchener</w:t>
      </w:r>
      <w:proofErr w:type="spellEnd"/>
      <w:r w:rsidRPr="008745C2">
        <w:rPr>
          <w:rFonts w:ascii="Times New Roman" w:hAnsi="Times New Roman" w:cs="Times New Roman"/>
          <w:sz w:val="20"/>
          <w:szCs w:val="20"/>
          <w:lang w:val="en-US"/>
        </w:rPr>
        <w:t xml:space="preserve"> </w:t>
      </w:r>
      <w:proofErr w:type="spellStart"/>
      <w:r w:rsidRPr="008745C2">
        <w:rPr>
          <w:rFonts w:ascii="Times New Roman" w:hAnsi="Times New Roman" w:cs="Times New Roman"/>
          <w:sz w:val="20"/>
          <w:szCs w:val="20"/>
          <w:lang w:val="en-US"/>
        </w:rPr>
        <w:t>Kommentar</w:t>
      </w:r>
      <w:proofErr w:type="spellEnd"/>
      <w:r w:rsidRPr="008745C2">
        <w:rPr>
          <w:rFonts w:ascii="Times New Roman" w:hAnsi="Times New Roman" w:cs="Times New Roman"/>
          <w:sz w:val="20"/>
          <w:szCs w:val="20"/>
          <w:lang w:val="en-US"/>
        </w:rPr>
        <w:t xml:space="preserve"> </w:t>
      </w:r>
      <w:proofErr w:type="spellStart"/>
      <w:r w:rsidRPr="008745C2">
        <w:rPr>
          <w:rFonts w:ascii="Times New Roman" w:hAnsi="Times New Roman" w:cs="Times New Roman"/>
          <w:sz w:val="20"/>
          <w:szCs w:val="20"/>
          <w:lang w:val="en-US"/>
        </w:rPr>
        <w:t>zum</w:t>
      </w:r>
      <w:proofErr w:type="spellEnd"/>
      <w:r w:rsidRPr="008745C2">
        <w:rPr>
          <w:rFonts w:ascii="Times New Roman" w:hAnsi="Times New Roman" w:cs="Times New Roman"/>
          <w:sz w:val="20"/>
          <w:szCs w:val="20"/>
          <w:lang w:val="en-US"/>
        </w:rPr>
        <w:t xml:space="preserve"> BGB, </w:t>
      </w:r>
      <w:r>
        <w:rPr>
          <w:rFonts w:ascii="Times New Roman" w:hAnsi="Times New Roman" w:cs="Times New Roman"/>
          <w:sz w:val="20"/>
          <w:szCs w:val="20"/>
          <w:lang w:val="en-US"/>
        </w:rPr>
        <w:t>vol. 12, 7</w:t>
      </w:r>
      <w:r w:rsidRPr="00920A2C">
        <w:rPr>
          <w:rFonts w:ascii="Times New Roman" w:hAnsi="Times New Roman" w:cs="Times New Roman"/>
          <w:sz w:val="20"/>
          <w:szCs w:val="20"/>
          <w:vertAlign w:val="superscript"/>
          <w:lang w:val="en-US"/>
        </w:rPr>
        <w:t>th</w:t>
      </w:r>
      <w:r>
        <w:rPr>
          <w:rFonts w:ascii="Times New Roman" w:hAnsi="Times New Roman" w:cs="Times New Roman"/>
          <w:sz w:val="20"/>
          <w:szCs w:val="20"/>
          <w:lang w:val="en-US"/>
        </w:rPr>
        <w:t xml:space="preserve"> ed. 2018, </w:t>
      </w:r>
      <w:proofErr w:type="spellStart"/>
      <w:r w:rsidRPr="008745C2">
        <w:rPr>
          <w:rFonts w:ascii="Times New Roman" w:hAnsi="Times New Roman" w:cs="Times New Roman"/>
          <w:sz w:val="20"/>
          <w:szCs w:val="20"/>
          <w:lang w:val="en-US"/>
        </w:rPr>
        <w:t>IntWettbR</w:t>
      </w:r>
      <w:proofErr w:type="spellEnd"/>
      <w:r w:rsidRPr="008745C2">
        <w:rPr>
          <w:rFonts w:ascii="Times New Roman" w:hAnsi="Times New Roman" w:cs="Times New Roman"/>
          <w:sz w:val="20"/>
          <w:szCs w:val="20"/>
          <w:lang w:val="en-US"/>
        </w:rPr>
        <w:t>/</w:t>
      </w:r>
      <w:proofErr w:type="spellStart"/>
      <w:r w:rsidRPr="008745C2">
        <w:rPr>
          <w:rFonts w:ascii="Times New Roman" w:hAnsi="Times New Roman" w:cs="Times New Roman"/>
          <w:sz w:val="20"/>
          <w:szCs w:val="20"/>
          <w:lang w:val="en-US"/>
        </w:rPr>
        <w:t>IntKartellR</w:t>
      </w:r>
      <w:proofErr w:type="spellEnd"/>
      <w:r w:rsidRPr="008745C2">
        <w:rPr>
          <w:rFonts w:ascii="Times New Roman" w:hAnsi="Times New Roman" w:cs="Times New Roman"/>
          <w:sz w:val="20"/>
          <w:szCs w:val="20"/>
          <w:lang w:val="en-US"/>
        </w:rPr>
        <w:t xml:space="preserve"> no. 108; u</w:t>
      </w:r>
      <w:r w:rsidRPr="008745C2">
        <w:rPr>
          <w:rFonts w:ascii="Times New Roman" w:hAnsi="Times New Roman" w:cs="Times New Roman"/>
          <w:sz w:val="20"/>
          <w:szCs w:val="20"/>
          <w:lang w:val="en-US"/>
        </w:rPr>
        <w:t>n</w:t>
      </w:r>
      <w:r w:rsidRPr="008745C2">
        <w:rPr>
          <w:rFonts w:ascii="Times New Roman" w:hAnsi="Times New Roman" w:cs="Times New Roman"/>
          <w:sz w:val="20"/>
          <w:szCs w:val="20"/>
          <w:lang w:val="en-US"/>
        </w:rPr>
        <w:t xml:space="preserve">clear insofar </w:t>
      </w:r>
      <w:proofErr w:type="spellStart"/>
      <w:r w:rsidRPr="008745C2">
        <w:rPr>
          <w:rFonts w:ascii="Times New Roman" w:hAnsi="Times New Roman" w:cs="Times New Roman"/>
          <w:i/>
          <w:sz w:val="20"/>
          <w:szCs w:val="20"/>
          <w:lang w:val="en-US"/>
        </w:rPr>
        <w:t>Augenhofer</w:t>
      </w:r>
      <w:proofErr w:type="spellEnd"/>
      <w:r w:rsidRPr="008745C2">
        <w:rPr>
          <w:rFonts w:ascii="Times New Roman" w:hAnsi="Times New Roman" w:cs="Times New Roman"/>
          <w:sz w:val="20"/>
          <w:szCs w:val="20"/>
          <w:lang w:val="en-US"/>
        </w:rPr>
        <w:t xml:space="preserve">, in </w:t>
      </w:r>
      <w:proofErr w:type="spellStart"/>
      <w:r w:rsidRPr="008745C2">
        <w:rPr>
          <w:rFonts w:ascii="Times New Roman" w:hAnsi="Times New Roman" w:cs="Times New Roman"/>
          <w:sz w:val="20"/>
          <w:szCs w:val="20"/>
          <w:lang w:val="en-US"/>
        </w:rPr>
        <w:t>Calliess</w:t>
      </w:r>
      <w:proofErr w:type="spellEnd"/>
      <w:r w:rsidRPr="008745C2">
        <w:rPr>
          <w:rFonts w:ascii="Times New Roman" w:hAnsi="Times New Roman" w:cs="Times New Roman"/>
          <w:sz w:val="20"/>
          <w:szCs w:val="20"/>
          <w:lang w:val="en-US"/>
        </w:rPr>
        <w:t xml:space="preserve">, Rome Regulations, 2015, Rome II Art. </w:t>
      </w:r>
      <w:proofErr w:type="gramStart"/>
      <w:r w:rsidRPr="008745C2">
        <w:rPr>
          <w:rFonts w:ascii="Times New Roman" w:hAnsi="Times New Roman" w:cs="Times New Roman"/>
          <w:sz w:val="20"/>
          <w:szCs w:val="20"/>
          <w:lang w:val="en-US"/>
        </w:rPr>
        <w:t>6 no. 74.</w:t>
      </w:r>
      <w:proofErr w:type="gramEnd"/>
    </w:p>
  </w:footnote>
  <w:footnote w:id="61">
    <w:p w14:paraId="576F5CD6" w14:textId="29FE1504" w:rsidR="00D13078" w:rsidRPr="008745C2" w:rsidRDefault="00D13078" w:rsidP="008745C2">
      <w:pPr>
        <w:pStyle w:val="Funotentext"/>
        <w:jc w:val="both"/>
        <w:rPr>
          <w:rFonts w:ascii="Times New Roman" w:hAnsi="Times New Roman" w:cs="Times New Roman"/>
          <w:sz w:val="20"/>
          <w:szCs w:val="20"/>
          <w:lang w:val="en-US"/>
        </w:rPr>
      </w:pPr>
      <w:r w:rsidRPr="008745C2">
        <w:rPr>
          <w:rStyle w:val="Funotenzeichen"/>
          <w:rFonts w:ascii="Times New Roman" w:hAnsi="Times New Roman" w:cs="Times New Roman"/>
          <w:sz w:val="20"/>
          <w:szCs w:val="20"/>
          <w:lang w:val="en-US"/>
        </w:rPr>
        <w:footnoteRef/>
      </w:r>
      <w:r w:rsidRPr="008745C2">
        <w:rPr>
          <w:rFonts w:ascii="Times New Roman" w:hAnsi="Times New Roman" w:cs="Times New Roman"/>
          <w:sz w:val="20"/>
          <w:szCs w:val="20"/>
          <w:lang w:val="en-US"/>
        </w:rPr>
        <w:t xml:space="preserve"> </w:t>
      </w:r>
      <w:proofErr w:type="gramStart"/>
      <w:r w:rsidRPr="008745C2">
        <w:rPr>
          <w:rFonts w:ascii="Times New Roman" w:hAnsi="Times New Roman" w:cs="Times New Roman"/>
          <w:sz w:val="20"/>
          <w:szCs w:val="20"/>
          <w:lang w:val="en-US"/>
        </w:rPr>
        <w:t xml:space="preserve">Comp. </w:t>
      </w:r>
      <w:proofErr w:type="spellStart"/>
      <w:r w:rsidRPr="008745C2">
        <w:rPr>
          <w:rFonts w:ascii="Times New Roman" w:hAnsi="Times New Roman" w:cs="Times New Roman"/>
          <w:i/>
          <w:sz w:val="20"/>
          <w:szCs w:val="20"/>
          <w:lang w:val="en-US"/>
        </w:rPr>
        <w:t>Wurmnest</w:t>
      </w:r>
      <w:proofErr w:type="spellEnd"/>
      <w:r w:rsidRPr="008745C2">
        <w:rPr>
          <w:rFonts w:ascii="Times New Roman" w:hAnsi="Times New Roman" w:cs="Times New Roman"/>
          <w:sz w:val="20"/>
          <w:szCs w:val="20"/>
          <w:lang w:val="en-US"/>
        </w:rPr>
        <w:t xml:space="preserve">, </w:t>
      </w:r>
      <w:proofErr w:type="spellStart"/>
      <w:r w:rsidRPr="008745C2">
        <w:rPr>
          <w:rFonts w:ascii="Times New Roman" w:hAnsi="Times New Roman" w:cs="Times New Roman"/>
          <w:sz w:val="20"/>
          <w:szCs w:val="20"/>
          <w:lang w:val="en-US"/>
        </w:rPr>
        <w:t>Neu</w:t>
      </w:r>
      <w:r>
        <w:rPr>
          <w:rFonts w:ascii="Times New Roman" w:hAnsi="Times New Roman" w:cs="Times New Roman"/>
          <w:sz w:val="20"/>
          <w:szCs w:val="20"/>
          <w:lang w:val="en-US"/>
        </w:rPr>
        <w:t>e</w:t>
      </w:r>
      <w:proofErr w:type="spellEnd"/>
      <w:r w:rsidRPr="008745C2">
        <w:rPr>
          <w:rFonts w:ascii="Times New Roman" w:hAnsi="Times New Roman" w:cs="Times New Roman"/>
          <w:sz w:val="20"/>
          <w:szCs w:val="20"/>
          <w:lang w:val="en-US"/>
        </w:rPr>
        <w:t xml:space="preserve"> </w:t>
      </w:r>
      <w:proofErr w:type="spellStart"/>
      <w:r w:rsidRPr="008745C2">
        <w:rPr>
          <w:rFonts w:ascii="Times New Roman" w:hAnsi="Times New Roman" w:cs="Times New Roman"/>
          <w:sz w:val="20"/>
          <w:szCs w:val="20"/>
          <w:lang w:val="en-US"/>
        </w:rPr>
        <w:t>Zeitschrift</w:t>
      </w:r>
      <w:proofErr w:type="spellEnd"/>
      <w:r w:rsidRPr="008745C2">
        <w:rPr>
          <w:rFonts w:ascii="Times New Roman" w:hAnsi="Times New Roman" w:cs="Times New Roman"/>
          <w:sz w:val="20"/>
          <w:szCs w:val="20"/>
          <w:lang w:val="en-US"/>
        </w:rPr>
        <w:t xml:space="preserve"> </w:t>
      </w:r>
      <w:proofErr w:type="spellStart"/>
      <w:r w:rsidRPr="008745C2">
        <w:rPr>
          <w:rFonts w:ascii="Times New Roman" w:hAnsi="Times New Roman" w:cs="Times New Roman"/>
          <w:sz w:val="20"/>
          <w:szCs w:val="20"/>
          <w:lang w:val="en-US"/>
        </w:rPr>
        <w:t>für</w:t>
      </w:r>
      <w:proofErr w:type="spellEnd"/>
      <w:r w:rsidRPr="008745C2">
        <w:rPr>
          <w:rFonts w:ascii="Times New Roman" w:hAnsi="Times New Roman" w:cs="Times New Roman"/>
          <w:sz w:val="20"/>
          <w:szCs w:val="20"/>
          <w:lang w:val="en-US"/>
        </w:rPr>
        <w:t xml:space="preserve"> </w:t>
      </w:r>
      <w:proofErr w:type="spellStart"/>
      <w:r w:rsidRPr="008745C2">
        <w:rPr>
          <w:rFonts w:ascii="Times New Roman" w:hAnsi="Times New Roman" w:cs="Times New Roman"/>
          <w:sz w:val="20"/>
          <w:szCs w:val="20"/>
          <w:lang w:val="en-US"/>
        </w:rPr>
        <w:t>Kartellrecht</w:t>
      </w:r>
      <w:proofErr w:type="spellEnd"/>
      <w:r w:rsidRPr="008745C2">
        <w:rPr>
          <w:rFonts w:ascii="Times New Roman" w:hAnsi="Times New Roman" w:cs="Times New Roman"/>
          <w:sz w:val="20"/>
          <w:szCs w:val="20"/>
          <w:lang w:val="en-US"/>
        </w:rPr>
        <w:t xml:space="preserve"> 2017, 2 (p. 3).</w:t>
      </w:r>
      <w:proofErr w:type="gramEnd"/>
    </w:p>
  </w:footnote>
  <w:footnote w:id="62">
    <w:p w14:paraId="0A9DA48A" w14:textId="1379144C" w:rsidR="00D13078" w:rsidRPr="00FE069E" w:rsidRDefault="00D13078" w:rsidP="00FE069E">
      <w:pPr>
        <w:pStyle w:val="Funotentext"/>
        <w:jc w:val="both"/>
        <w:rPr>
          <w:rFonts w:ascii="Times New Roman" w:hAnsi="Times New Roman" w:cs="Times New Roman"/>
          <w:sz w:val="20"/>
          <w:szCs w:val="20"/>
        </w:rPr>
      </w:pPr>
      <w:r w:rsidRPr="008745C2">
        <w:rPr>
          <w:rStyle w:val="Funotenzeichen"/>
          <w:rFonts w:ascii="Times New Roman" w:hAnsi="Times New Roman" w:cs="Times New Roman"/>
          <w:sz w:val="20"/>
          <w:szCs w:val="20"/>
        </w:rPr>
        <w:footnoteRef/>
      </w:r>
      <w:r w:rsidRPr="008745C2">
        <w:rPr>
          <w:rFonts w:ascii="Times New Roman" w:hAnsi="Times New Roman" w:cs="Times New Roman"/>
          <w:sz w:val="20"/>
          <w:szCs w:val="20"/>
        </w:rPr>
        <w:t xml:space="preserve"> See </w:t>
      </w:r>
      <w:proofErr w:type="spellStart"/>
      <w:r w:rsidRPr="008745C2">
        <w:rPr>
          <w:rFonts w:ascii="Times New Roman" w:hAnsi="Times New Roman" w:cs="Times New Roman"/>
          <w:sz w:val="20"/>
          <w:szCs w:val="20"/>
        </w:rPr>
        <w:t>for</w:t>
      </w:r>
      <w:proofErr w:type="spellEnd"/>
      <w:r w:rsidRPr="008745C2">
        <w:rPr>
          <w:rFonts w:ascii="Times New Roman" w:hAnsi="Times New Roman" w:cs="Times New Roman"/>
          <w:sz w:val="20"/>
          <w:szCs w:val="20"/>
        </w:rPr>
        <w:t xml:space="preserve"> such </w:t>
      </w:r>
      <w:proofErr w:type="spellStart"/>
      <w:r w:rsidRPr="008745C2">
        <w:rPr>
          <w:rFonts w:ascii="Times New Roman" w:hAnsi="Times New Roman" w:cs="Times New Roman"/>
          <w:sz w:val="20"/>
          <w:szCs w:val="20"/>
        </w:rPr>
        <w:t>claims</w:t>
      </w:r>
      <w:proofErr w:type="spellEnd"/>
      <w:r w:rsidRPr="008745C2">
        <w:rPr>
          <w:rFonts w:ascii="Times New Roman" w:hAnsi="Times New Roman" w:cs="Times New Roman"/>
          <w:sz w:val="20"/>
          <w:szCs w:val="20"/>
        </w:rPr>
        <w:t xml:space="preserve"> </w:t>
      </w:r>
      <w:proofErr w:type="spellStart"/>
      <w:r w:rsidRPr="008745C2">
        <w:rPr>
          <w:rFonts w:ascii="Times New Roman" w:hAnsi="Times New Roman" w:cs="Times New Roman"/>
          <w:sz w:val="20"/>
          <w:szCs w:val="20"/>
        </w:rPr>
        <w:t>under</w:t>
      </w:r>
      <w:proofErr w:type="spellEnd"/>
      <w:r w:rsidRPr="008745C2">
        <w:rPr>
          <w:rFonts w:ascii="Times New Roman" w:hAnsi="Times New Roman" w:cs="Times New Roman"/>
          <w:sz w:val="20"/>
          <w:szCs w:val="20"/>
        </w:rPr>
        <w:t xml:space="preserve"> French </w:t>
      </w:r>
      <w:proofErr w:type="spellStart"/>
      <w:r w:rsidRPr="008745C2">
        <w:rPr>
          <w:rFonts w:ascii="Times New Roman" w:hAnsi="Times New Roman" w:cs="Times New Roman"/>
          <w:sz w:val="20"/>
          <w:szCs w:val="20"/>
        </w:rPr>
        <w:t>law</w:t>
      </w:r>
      <w:proofErr w:type="spellEnd"/>
      <w:r w:rsidRPr="008745C2">
        <w:rPr>
          <w:rFonts w:ascii="Times New Roman" w:hAnsi="Times New Roman" w:cs="Times New Roman"/>
          <w:sz w:val="20"/>
          <w:szCs w:val="20"/>
        </w:rPr>
        <w:t xml:space="preserve"> </w:t>
      </w:r>
      <w:r w:rsidRPr="008745C2">
        <w:rPr>
          <w:rFonts w:ascii="Times New Roman" w:hAnsi="Times New Roman" w:cs="Times New Roman"/>
          <w:i/>
          <w:sz w:val="20"/>
          <w:szCs w:val="20"/>
        </w:rPr>
        <w:t>Renner/</w:t>
      </w:r>
      <w:proofErr w:type="spellStart"/>
      <w:r w:rsidRPr="008745C2">
        <w:rPr>
          <w:rFonts w:ascii="Times New Roman" w:hAnsi="Times New Roman" w:cs="Times New Roman"/>
          <w:i/>
          <w:sz w:val="20"/>
          <w:szCs w:val="20"/>
        </w:rPr>
        <w:t>Olza</w:t>
      </w:r>
      <w:proofErr w:type="spellEnd"/>
      <w:r w:rsidRPr="008745C2">
        <w:rPr>
          <w:rFonts w:ascii="Times New Roman" w:hAnsi="Times New Roman" w:cs="Times New Roman"/>
          <w:i/>
          <w:sz w:val="20"/>
          <w:szCs w:val="20"/>
        </w:rPr>
        <w:t>-Moreno</w:t>
      </w:r>
      <w:r w:rsidRPr="008745C2">
        <w:rPr>
          <w:rFonts w:ascii="Times New Roman" w:hAnsi="Times New Roman" w:cs="Times New Roman"/>
          <w:sz w:val="20"/>
          <w:szCs w:val="20"/>
        </w:rPr>
        <w:t xml:space="preserve">, in </w:t>
      </w:r>
      <w:proofErr w:type="spellStart"/>
      <w:r w:rsidRPr="008745C2">
        <w:rPr>
          <w:rFonts w:ascii="Times New Roman" w:hAnsi="Times New Roman" w:cs="Times New Roman"/>
          <w:sz w:val="20"/>
          <w:szCs w:val="20"/>
        </w:rPr>
        <w:t>Birnstiel</w:t>
      </w:r>
      <w:proofErr w:type="spellEnd"/>
      <w:r w:rsidRPr="008745C2">
        <w:rPr>
          <w:rFonts w:ascii="Times New Roman" w:hAnsi="Times New Roman" w:cs="Times New Roman"/>
          <w:sz w:val="20"/>
          <w:szCs w:val="20"/>
        </w:rPr>
        <w:t>/</w:t>
      </w:r>
      <w:proofErr w:type="spellStart"/>
      <w:r w:rsidRPr="008745C2">
        <w:rPr>
          <w:rFonts w:ascii="Times New Roman" w:hAnsi="Times New Roman" w:cs="Times New Roman"/>
          <w:sz w:val="20"/>
          <w:szCs w:val="20"/>
        </w:rPr>
        <w:t>Bungenberg</w:t>
      </w:r>
      <w:proofErr w:type="spellEnd"/>
      <w:r w:rsidRPr="008745C2">
        <w:rPr>
          <w:rFonts w:ascii="Times New Roman" w:hAnsi="Times New Roman" w:cs="Times New Roman"/>
          <w:sz w:val="20"/>
          <w:szCs w:val="20"/>
        </w:rPr>
        <w:t>/Heinrich, Europäisches Beihilfenrecht, 2013 no</w:t>
      </w:r>
      <w:r>
        <w:rPr>
          <w:rFonts w:ascii="Times New Roman" w:hAnsi="Times New Roman" w:cs="Times New Roman"/>
          <w:sz w:val="20"/>
          <w:szCs w:val="20"/>
        </w:rPr>
        <w:t>s</w:t>
      </w:r>
      <w:r w:rsidRPr="008745C2">
        <w:rPr>
          <w:rFonts w:ascii="Times New Roman" w:hAnsi="Times New Roman" w:cs="Times New Roman"/>
          <w:sz w:val="20"/>
          <w:szCs w:val="20"/>
        </w:rPr>
        <w:t>. 226 et seq.</w:t>
      </w:r>
    </w:p>
  </w:footnote>
  <w:footnote w:id="63">
    <w:p w14:paraId="273A4A4E" w14:textId="22B42C28" w:rsidR="00D13078" w:rsidRPr="00E66CF8" w:rsidRDefault="00D13078" w:rsidP="00FC3CFD">
      <w:pPr>
        <w:pStyle w:val="Funotentext"/>
        <w:jc w:val="both"/>
        <w:rPr>
          <w:rFonts w:ascii="Times New Roman" w:hAnsi="Times New Roman" w:cs="Times New Roman"/>
          <w:sz w:val="20"/>
          <w:szCs w:val="20"/>
          <w:lang w:val="en-US"/>
        </w:rPr>
      </w:pPr>
      <w:r w:rsidRPr="00E66CF8">
        <w:rPr>
          <w:rStyle w:val="Funotenzeichen"/>
          <w:rFonts w:ascii="Times New Roman" w:hAnsi="Times New Roman" w:cs="Times New Roman"/>
          <w:sz w:val="20"/>
          <w:szCs w:val="20"/>
        </w:rPr>
        <w:footnoteRef/>
      </w:r>
      <w:r w:rsidRPr="00E66CF8">
        <w:rPr>
          <w:rFonts w:ascii="Times New Roman" w:hAnsi="Times New Roman" w:cs="Times New Roman"/>
          <w:sz w:val="20"/>
          <w:szCs w:val="20"/>
          <w:lang w:val="en-US"/>
        </w:rPr>
        <w:t xml:space="preserve"> S</w:t>
      </w:r>
      <w:r>
        <w:rPr>
          <w:rFonts w:ascii="Times New Roman" w:hAnsi="Times New Roman" w:cs="Times New Roman"/>
          <w:sz w:val="20"/>
          <w:szCs w:val="20"/>
          <w:lang w:val="en-US"/>
        </w:rPr>
        <w:t>ee above</w:t>
      </w:r>
      <w:r w:rsidR="00736776">
        <w:rPr>
          <w:rFonts w:ascii="Times New Roman" w:hAnsi="Times New Roman" w:cs="Times New Roman"/>
          <w:sz w:val="20"/>
          <w:szCs w:val="20"/>
          <w:lang w:val="en-US"/>
        </w:rPr>
        <w:t>,</w:t>
      </w:r>
      <w:r>
        <w:rPr>
          <w:rFonts w:ascii="Times New Roman" w:hAnsi="Times New Roman" w:cs="Times New Roman"/>
          <w:sz w:val="20"/>
          <w:szCs w:val="20"/>
          <w:lang w:val="en-US"/>
        </w:rPr>
        <w:t xml:space="preserve"> sub</w:t>
      </w:r>
      <w:r w:rsidRPr="00E66CF8">
        <w:rPr>
          <w:rFonts w:ascii="Times New Roman" w:hAnsi="Times New Roman" w:cs="Times New Roman"/>
          <w:sz w:val="20"/>
          <w:szCs w:val="20"/>
          <w:lang w:val="en-US"/>
        </w:rPr>
        <w:t xml:space="preserve"> II. 3. </w:t>
      </w:r>
      <w:proofErr w:type="gramStart"/>
      <w:r w:rsidRPr="00E66CF8">
        <w:rPr>
          <w:rFonts w:ascii="Times New Roman" w:hAnsi="Times New Roman" w:cs="Times New Roman"/>
          <w:sz w:val="20"/>
          <w:szCs w:val="20"/>
          <w:lang w:val="en-US"/>
        </w:rPr>
        <w:t>a</w:t>
      </w:r>
      <w:proofErr w:type="gramEnd"/>
      <w:r w:rsidRPr="00E66CF8">
        <w:rPr>
          <w:rFonts w:ascii="Times New Roman" w:hAnsi="Times New Roman" w:cs="Times New Roman"/>
          <w:sz w:val="20"/>
          <w:szCs w:val="20"/>
          <w:lang w:val="en-US"/>
        </w:rPr>
        <w:t>).</w:t>
      </w:r>
    </w:p>
  </w:footnote>
  <w:footnote w:id="64">
    <w:p w14:paraId="0B072B9C" w14:textId="5553DE9D" w:rsidR="00D13078" w:rsidRPr="00FC3CFD" w:rsidRDefault="00D13078" w:rsidP="00FC3CFD">
      <w:pPr>
        <w:pStyle w:val="Funotentext"/>
        <w:jc w:val="both"/>
        <w:rPr>
          <w:rFonts w:ascii="Times New Roman" w:hAnsi="Times New Roman" w:cs="Times New Roman"/>
          <w:sz w:val="20"/>
          <w:szCs w:val="20"/>
          <w:lang w:val="en-US"/>
        </w:rPr>
      </w:pPr>
      <w:r w:rsidRPr="00E66CF8">
        <w:rPr>
          <w:rStyle w:val="Funotenzeichen"/>
          <w:rFonts w:ascii="Times New Roman" w:hAnsi="Times New Roman" w:cs="Times New Roman"/>
          <w:sz w:val="20"/>
          <w:szCs w:val="20"/>
        </w:rPr>
        <w:footnoteRef/>
      </w:r>
      <w:r w:rsidRPr="00E66CF8">
        <w:rPr>
          <w:rFonts w:ascii="Times New Roman" w:hAnsi="Times New Roman" w:cs="Times New Roman"/>
          <w:sz w:val="20"/>
          <w:szCs w:val="20"/>
        </w:rPr>
        <w:t xml:space="preserve"> </w:t>
      </w:r>
      <w:r>
        <w:rPr>
          <w:rFonts w:ascii="Times New Roman" w:hAnsi="Times New Roman" w:cs="Times New Roman"/>
          <w:sz w:val="20"/>
          <w:szCs w:val="20"/>
        </w:rPr>
        <w:t xml:space="preserve">Comp., </w:t>
      </w:r>
      <w:proofErr w:type="spellStart"/>
      <w:r>
        <w:rPr>
          <w:rFonts w:ascii="Times New Roman" w:hAnsi="Times New Roman" w:cs="Times New Roman"/>
          <w:sz w:val="20"/>
          <w:szCs w:val="20"/>
        </w:rPr>
        <w:t>however</w:t>
      </w:r>
      <w:proofErr w:type="spellEnd"/>
      <w:r>
        <w:rPr>
          <w:rFonts w:ascii="Times New Roman" w:hAnsi="Times New Roman" w:cs="Times New Roman"/>
          <w:sz w:val="20"/>
          <w:szCs w:val="20"/>
        </w:rPr>
        <w:t>,</w:t>
      </w:r>
      <w:r w:rsidRPr="00E66CF8">
        <w:rPr>
          <w:rFonts w:ascii="Times New Roman" w:hAnsi="Times New Roman" w:cs="Times New Roman"/>
          <w:sz w:val="20"/>
          <w:szCs w:val="20"/>
        </w:rPr>
        <w:t xml:space="preserve"> </w:t>
      </w:r>
      <w:r>
        <w:rPr>
          <w:rFonts w:ascii="Times New Roman" w:hAnsi="Times New Roman" w:cs="Times New Roman"/>
          <w:sz w:val="20"/>
          <w:szCs w:val="20"/>
        </w:rPr>
        <w:t>ECJ</w:t>
      </w:r>
      <w:r w:rsidRPr="00E66CF8">
        <w:rPr>
          <w:rFonts w:ascii="Times New Roman" w:hAnsi="Times New Roman" w:cs="Times New Roman"/>
          <w:sz w:val="20"/>
          <w:szCs w:val="20"/>
        </w:rPr>
        <w:t xml:space="preserve"> </w:t>
      </w:r>
      <w:r>
        <w:rPr>
          <w:rFonts w:ascii="Times New Roman" w:hAnsi="Times New Roman" w:cs="Times New Roman"/>
          <w:sz w:val="20"/>
          <w:szCs w:val="20"/>
        </w:rPr>
        <w:t>2/12/</w:t>
      </w:r>
      <w:r w:rsidRPr="00E66CF8">
        <w:rPr>
          <w:rFonts w:ascii="Times New Roman" w:hAnsi="Times New Roman" w:cs="Times New Roman"/>
          <w:sz w:val="20"/>
          <w:szCs w:val="20"/>
        </w:rPr>
        <w:t xml:space="preserve">2008 – C-199/06, </w:t>
      </w:r>
      <w:r>
        <w:rPr>
          <w:rFonts w:ascii="Times New Roman" w:hAnsi="Times New Roman" w:cs="Times New Roman"/>
          <w:sz w:val="20"/>
          <w:szCs w:val="20"/>
        </w:rPr>
        <w:t>ECR</w:t>
      </w:r>
      <w:r w:rsidRPr="00E66CF8">
        <w:rPr>
          <w:rFonts w:ascii="Times New Roman" w:hAnsi="Times New Roman" w:cs="Times New Roman"/>
          <w:sz w:val="20"/>
          <w:szCs w:val="20"/>
        </w:rPr>
        <w:t xml:space="preserve"> 2008, I-469 </w:t>
      </w:r>
      <w:proofErr w:type="spellStart"/>
      <w:r>
        <w:rPr>
          <w:rFonts w:ascii="Times New Roman" w:hAnsi="Times New Roman" w:cs="Times New Roman"/>
          <w:sz w:val="20"/>
          <w:szCs w:val="20"/>
        </w:rPr>
        <w:t>no</w:t>
      </w:r>
      <w:proofErr w:type="spellEnd"/>
      <w:r w:rsidRPr="00E66CF8">
        <w:rPr>
          <w:rFonts w:ascii="Times New Roman" w:hAnsi="Times New Roman" w:cs="Times New Roman"/>
          <w:sz w:val="20"/>
          <w:szCs w:val="20"/>
        </w:rPr>
        <w:t>. 53 – CELF I</w:t>
      </w:r>
      <w:r w:rsidRPr="00FC3CFD">
        <w:rPr>
          <w:rFonts w:ascii="Times New Roman" w:hAnsi="Times New Roman" w:cs="Times New Roman"/>
          <w:sz w:val="20"/>
          <w:szCs w:val="20"/>
          <w:lang w:val="en-US"/>
        </w:rPr>
        <w:t xml:space="preserve">, that considers it possible </w:t>
      </w:r>
      <w:r>
        <w:rPr>
          <w:rFonts w:ascii="Times New Roman" w:hAnsi="Times New Roman" w:cs="Times New Roman"/>
          <w:sz w:val="20"/>
          <w:szCs w:val="20"/>
          <w:lang w:val="en-US"/>
        </w:rPr>
        <w:t>to recover a formally illegal aid even if the aid has been substantially approved by the Commission, without prej</w:t>
      </w:r>
      <w:r>
        <w:rPr>
          <w:rFonts w:ascii="Times New Roman" w:hAnsi="Times New Roman" w:cs="Times New Roman"/>
          <w:sz w:val="20"/>
          <w:szCs w:val="20"/>
          <w:lang w:val="en-US"/>
        </w:rPr>
        <w:t>u</w:t>
      </w:r>
      <w:r>
        <w:rPr>
          <w:rFonts w:ascii="Times New Roman" w:hAnsi="Times New Roman" w:cs="Times New Roman"/>
          <w:sz w:val="20"/>
          <w:szCs w:val="20"/>
          <w:lang w:val="en-US"/>
        </w:rPr>
        <w:t>dice to the right of the Member State to grant the same aid again later.</w:t>
      </w:r>
      <w:r w:rsidRPr="00FC3CFD">
        <w:rPr>
          <w:rFonts w:ascii="Times New Roman" w:hAnsi="Times New Roman" w:cs="Times New Roman"/>
          <w:sz w:val="20"/>
          <w:szCs w:val="20"/>
          <w:lang w:val="en-US"/>
        </w:rPr>
        <w:t xml:space="preserve"> </w:t>
      </w:r>
    </w:p>
  </w:footnote>
  <w:footnote w:id="65">
    <w:p w14:paraId="74E7864D" w14:textId="10656522" w:rsidR="00D13078" w:rsidRPr="00E66CF8" w:rsidRDefault="00D13078" w:rsidP="00FC3CFD">
      <w:pPr>
        <w:pStyle w:val="Funotentext"/>
        <w:jc w:val="both"/>
        <w:rPr>
          <w:rFonts w:ascii="Times New Roman" w:hAnsi="Times New Roman" w:cs="Times New Roman"/>
          <w:sz w:val="20"/>
          <w:szCs w:val="20"/>
        </w:rPr>
      </w:pPr>
      <w:r w:rsidRPr="00E66CF8">
        <w:rPr>
          <w:rStyle w:val="Funotenzeichen"/>
          <w:rFonts w:ascii="Times New Roman" w:hAnsi="Times New Roman" w:cs="Times New Roman"/>
          <w:sz w:val="20"/>
          <w:szCs w:val="20"/>
        </w:rPr>
        <w:footnoteRef/>
      </w:r>
      <w:r w:rsidRPr="00E66CF8">
        <w:rPr>
          <w:rFonts w:ascii="Times New Roman" w:hAnsi="Times New Roman" w:cs="Times New Roman"/>
          <w:sz w:val="20"/>
          <w:szCs w:val="20"/>
        </w:rPr>
        <w:t xml:space="preserve"> S</w:t>
      </w:r>
      <w:r>
        <w:rPr>
          <w:rFonts w:ascii="Times New Roman" w:hAnsi="Times New Roman" w:cs="Times New Roman"/>
          <w:sz w:val="20"/>
          <w:szCs w:val="20"/>
        </w:rPr>
        <w:t xml:space="preserve">ee </w:t>
      </w:r>
      <w:proofErr w:type="spellStart"/>
      <w:r>
        <w:rPr>
          <w:rFonts w:ascii="Times New Roman" w:hAnsi="Times New Roman" w:cs="Times New Roman"/>
          <w:sz w:val="20"/>
          <w:szCs w:val="20"/>
        </w:rPr>
        <w:t>above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sub</w:t>
      </w:r>
      <w:proofErr w:type="spellEnd"/>
      <w:r w:rsidRPr="00E66CF8">
        <w:rPr>
          <w:rFonts w:ascii="Times New Roman" w:hAnsi="Times New Roman" w:cs="Times New Roman"/>
          <w:sz w:val="20"/>
          <w:szCs w:val="20"/>
        </w:rPr>
        <w:t xml:space="preserve"> I. 2. </w:t>
      </w:r>
      <w:proofErr w:type="spellStart"/>
      <w:r>
        <w:rPr>
          <w:rFonts w:ascii="Times New Roman" w:hAnsi="Times New Roman" w:cs="Times New Roman"/>
          <w:sz w:val="20"/>
          <w:szCs w:val="20"/>
        </w:rPr>
        <w:t>and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references</w:t>
      </w:r>
      <w:proofErr w:type="spellEnd"/>
      <w:r>
        <w:rPr>
          <w:rFonts w:ascii="Times New Roman" w:hAnsi="Times New Roman" w:cs="Times New Roman"/>
          <w:sz w:val="20"/>
          <w:szCs w:val="20"/>
        </w:rPr>
        <w:t xml:space="preserve"> </w:t>
      </w:r>
      <w:r w:rsidRPr="00E66CF8">
        <w:rPr>
          <w:rFonts w:ascii="Times New Roman" w:hAnsi="Times New Roman" w:cs="Times New Roman"/>
          <w:sz w:val="20"/>
          <w:szCs w:val="20"/>
        </w:rPr>
        <w:t xml:space="preserve">in </w:t>
      </w:r>
      <w:proofErr w:type="spellStart"/>
      <w:r>
        <w:rPr>
          <w:rFonts w:ascii="Times New Roman" w:hAnsi="Times New Roman" w:cs="Times New Roman"/>
          <w:sz w:val="20"/>
          <w:szCs w:val="20"/>
        </w:rPr>
        <w:t>footnote</w:t>
      </w:r>
      <w:proofErr w:type="spellEnd"/>
      <w:r>
        <w:rPr>
          <w:rFonts w:ascii="Times New Roman" w:hAnsi="Times New Roman" w:cs="Times New Roman"/>
          <w:sz w:val="20"/>
          <w:szCs w:val="20"/>
        </w:rPr>
        <w:t xml:space="preserve"> 15</w:t>
      </w:r>
      <w:r w:rsidRPr="00E66CF8">
        <w:rPr>
          <w:rFonts w:ascii="Times New Roman" w:hAnsi="Times New Roman" w:cs="Times New Roman"/>
          <w:sz w:val="20"/>
          <w:szCs w:val="20"/>
        </w:rPr>
        <w:t>.</w:t>
      </w:r>
    </w:p>
  </w:footnote>
  <w:footnote w:id="66">
    <w:p w14:paraId="4E3BFAAD" w14:textId="5585C2B5" w:rsidR="00D13078" w:rsidRPr="00E66CF8" w:rsidRDefault="00D13078" w:rsidP="008E1C14">
      <w:pPr>
        <w:pStyle w:val="Funotentext"/>
        <w:jc w:val="both"/>
        <w:rPr>
          <w:rFonts w:ascii="Times New Roman" w:hAnsi="Times New Roman" w:cs="Times New Roman"/>
          <w:sz w:val="20"/>
          <w:szCs w:val="20"/>
        </w:rPr>
      </w:pPr>
      <w:r w:rsidRPr="00E66CF8">
        <w:rPr>
          <w:rStyle w:val="Funotenzeichen"/>
          <w:rFonts w:ascii="Times New Roman" w:hAnsi="Times New Roman" w:cs="Times New Roman"/>
          <w:sz w:val="20"/>
          <w:szCs w:val="20"/>
        </w:rPr>
        <w:footnoteRef/>
      </w:r>
      <w:r w:rsidRPr="00E66CF8">
        <w:rPr>
          <w:rFonts w:ascii="Times New Roman" w:hAnsi="Times New Roman" w:cs="Times New Roman"/>
          <w:sz w:val="20"/>
          <w:szCs w:val="20"/>
        </w:rPr>
        <w:t xml:space="preserve"> </w:t>
      </w:r>
      <w:r>
        <w:rPr>
          <w:rFonts w:ascii="Times New Roman" w:hAnsi="Times New Roman" w:cs="Times New Roman"/>
          <w:sz w:val="20"/>
          <w:szCs w:val="20"/>
        </w:rPr>
        <w:t xml:space="preserve">Comp. </w:t>
      </w:r>
      <w:proofErr w:type="spellStart"/>
      <w:r w:rsidRPr="00E66CF8">
        <w:rPr>
          <w:rFonts w:ascii="Times New Roman" w:hAnsi="Times New Roman" w:cs="Times New Roman"/>
          <w:i/>
          <w:sz w:val="20"/>
          <w:szCs w:val="20"/>
        </w:rPr>
        <w:t>Kreße</w:t>
      </w:r>
      <w:proofErr w:type="spellEnd"/>
      <w:r w:rsidRPr="00873A95">
        <w:rPr>
          <w:rFonts w:ascii="Times New Roman" w:hAnsi="Times New Roman" w:cs="Times New Roman"/>
          <w:sz w:val="20"/>
          <w:szCs w:val="20"/>
        </w:rPr>
        <w:t>,</w:t>
      </w:r>
      <w:r w:rsidRPr="00E66CF8">
        <w:rPr>
          <w:rFonts w:ascii="Times New Roman" w:hAnsi="Times New Roman" w:cs="Times New Roman"/>
          <w:sz w:val="20"/>
          <w:szCs w:val="20"/>
        </w:rPr>
        <w:t xml:space="preserve"> </w:t>
      </w:r>
      <w:r>
        <w:rPr>
          <w:rFonts w:ascii="Times New Roman" w:hAnsi="Times New Roman" w:cs="Times New Roman"/>
          <w:sz w:val="20"/>
          <w:szCs w:val="20"/>
        </w:rPr>
        <w:t>European Union Private Law Review,</w:t>
      </w:r>
      <w:r w:rsidRPr="00E66CF8">
        <w:rPr>
          <w:rFonts w:ascii="Times New Roman" w:hAnsi="Times New Roman" w:cs="Times New Roman"/>
          <w:sz w:val="20"/>
          <w:szCs w:val="20"/>
        </w:rPr>
        <w:t xml:space="preserve"> 2018</w:t>
      </w:r>
      <w:r>
        <w:rPr>
          <w:rFonts w:ascii="Times New Roman" w:hAnsi="Times New Roman" w:cs="Times New Roman"/>
          <w:sz w:val="20"/>
          <w:szCs w:val="20"/>
        </w:rPr>
        <w:t>, 210 (p. 214)</w:t>
      </w:r>
      <w:r w:rsidRPr="00E66CF8">
        <w:rPr>
          <w:rFonts w:ascii="Times New Roman" w:hAnsi="Times New Roman" w:cs="Times New Roman"/>
          <w:sz w:val="20"/>
          <w:szCs w:val="20"/>
        </w:rPr>
        <w:t>.</w:t>
      </w:r>
    </w:p>
  </w:footnote>
  <w:footnote w:id="67">
    <w:p w14:paraId="2B9B33A7" w14:textId="54E9C599" w:rsidR="00D13078" w:rsidRPr="00E66CF8" w:rsidRDefault="00D13078" w:rsidP="00BB3317">
      <w:pPr>
        <w:pStyle w:val="Funotentext"/>
        <w:jc w:val="both"/>
        <w:rPr>
          <w:rFonts w:ascii="Times New Roman" w:hAnsi="Times New Roman" w:cs="Times New Roman"/>
          <w:sz w:val="20"/>
          <w:szCs w:val="20"/>
        </w:rPr>
      </w:pPr>
      <w:r w:rsidRPr="00E66CF8">
        <w:rPr>
          <w:rStyle w:val="Funotenzeichen"/>
          <w:rFonts w:ascii="Times New Roman" w:hAnsi="Times New Roman" w:cs="Times New Roman"/>
          <w:sz w:val="20"/>
          <w:szCs w:val="20"/>
        </w:rPr>
        <w:footnoteRef/>
      </w:r>
      <w:r w:rsidRPr="00E66CF8">
        <w:rPr>
          <w:rFonts w:ascii="Times New Roman" w:hAnsi="Times New Roman" w:cs="Times New Roman"/>
          <w:sz w:val="20"/>
          <w:szCs w:val="20"/>
        </w:rPr>
        <w:t xml:space="preserve"> Proto</w:t>
      </w:r>
      <w:r>
        <w:rPr>
          <w:rFonts w:ascii="Times New Roman" w:hAnsi="Times New Roman" w:cs="Times New Roman"/>
          <w:sz w:val="20"/>
          <w:szCs w:val="20"/>
        </w:rPr>
        <w:t>c</w:t>
      </w:r>
      <w:r w:rsidRPr="00E66CF8">
        <w:rPr>
          <w:rFonts w:ascii="Times New Roman" w:hAnsi="Times New Roman" w:cs="Times New Roman"/>
          <w:sz w:val="20"/>
          <w:szCs w:val="20"/>
        </w:rPr>
        <w:t>ol (</w:t>
      </w:r>
      <w:proofErr w:type="spellStart"/>
      <w:r w:rsidRPr="00E66CF8">
        <w:rPr>
          <w:rFonts w:ascii="Times New Roman" w:hAnsi="Times New Roman" w:cs="Times New Roman"/>
          <w:sz w:val="20"/>
          <w:szCs w:val="20"/>
        </w:rPr>
        <w:t>N</w:t>
      </w:r>
      <w:r>
        <w:rPr>
          <w:rFonts w:ascii="Times New Roman" w:hAnsi="Times New Roman" w:cs="Times New Roman"/>
          <w:sz w:val="20"/>
          <w:szCs w:val="20"/>
        </w:rPr>
        <w:t>o</w:t>
      </w:r>
      <w:proofErr w:type="spellEnd"/>
      <w:r w:rsidRPr="00E66CF8">
        <w:rPr>
          <w:rFonts w:ascii="Times New Roman" w:hAnsi="Times New Roman" w:cs="Times New Roman"/>
          <w:sz w:val="20"/>
          <w:szCs w:val="20"/>
        </w:rPr>
        <w:t xml:space="preserve">. 27) </w:t>
      </w:r>
      <w:r>
        <w:rPr>
          <w:rFonts w:ascii="Times New Roman" w:hAnsi="Times New Roman" w:cs="Times New Roman"/>
          <w:sz w:val="20"/>
          <w:szCs w:val="20"/>
        </w:rPr>
        <w:t xml:space="preserve">on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Internal Market </w:t>
      </w:r>
      <w:proofErr w:type="spellStart"/>
      <w:r>
        <w:rPr>
          <w:rFonts w:ascii="Times New Roman" w:hAnsi="Times New Roman" w:cs="Times New Roman"/>
          <w:sz w:val="20"/>
          <w:szCs w:val="20"/>
        </w:rPr>
        <w:t>and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Competition</w:t>
      </w:r>
      <w:proofErr w:type="spellEnd"/>
      <w:r w:rsidRPr="00E66CF8">
        <w:rPr>
          <w:rFonts w:ascii="Times New Roman" w:hAnsi="Times New Roman" w:cs="Times New Roman"/>
          <w:sz w:val="20"/>
          <w:szCs w:val="20"/>
        </w:rPr>
        <w:t xml:space="preserve">, </w:t>
      </w:r>
      <w:r>
        <w:rPr>
          <w:rFonts w:ascii="Times New Roman" w:hAnsi="Times New Roman" w:cs="Times New Roman"/>
          <w:sz w:val="20"/>
          <w:szCs w:val="20"/>
        </w:rPr>
        <w:t>OJ</w:t>
      </w:r>
      <w:r w:rsidRPr="00E66CF8">
        <w:rPr>
          <w:rFonts w:ascii="Times New Roman" w:hAnsi="Times New Roman" w:cs="Times New Roman"/>
          <w:sz w:val="20"/>
          <w:szCs w:val="20"/>
        </w:rPr>
        <w:t xml:space="preserve"> 2008 L 115, </w:t>
      </w:r>
      <w:r>
        <w:rPr>
          <w:rFonts w:ascii="Times New Roman" w:hAnsi="Times New Roman" w:cs="Times New Roman"/>
          <w:sz w:val="20"/>
          <w:szCs w:val="20"/>
        </w:rPr>
        <w:t>p</w:t>
      </w:r>
      <w:r w:rsidRPr="00E66CF8">
        <w:rPr>
          <w:rFonts w:ascii="Times New Roman" w:hAnsi="Times New Roman" w:cs="Times New Roman"/>
          <w:sz w:val="20"/>
          <w:szCs w:val="20"/>
        </w:rPr>
        <w:t xml:space="preserve">. 309; </w:t>
      </w:r>
      <w:proofErr w:type="spellStart"/>
      <w:r>
        <w:rPr>
          <w:rFonts w:ascii="Times New Roman" w:hAnsi="Times New Roman" w:cs="Times New Roman"/>
          <w:sz w:val="20"/>
          <w:szCs w:val="20"/>
        </w:rPr>
        <w:t>for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importance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of</w:t>
      </w:r>
      <w:proofErr w:type="spellEnd"/>
      <w:r>
        <w:rPr>
          <w:rFonts w:ascii="Times New Roman" w:hAnsi="Times New Roman" w:cs="Times New Roman"/>
          <w:sz w:val="20"/>
          <w:szCs w:val="20"/>
        </w:rPr>
        <w:t xml:space="preserve"> State ai</w:t>
      </w:r>
      <w:r w:rsidRPr="00BB3317">
        <w:rPr>
          <w:rFonts w:ascii="Times New Roman" w:hAnsi="Times New Roman" w:cs="Times New Roman"/>
          <w:sz w:val="20"/>
          <w:szCs w:val="20"/>
          <w:lang w:val="en-US"/>
        </w:rPr>
        <w:t xml:space="preserve">d law for the Internal Market see </w:t>
      </w:r>
      <w:proofErr w:type="spellStart"/>
      <w:r w:rsidRPr="00BB3317">
        <w:rPr>
          <w:rFonts w:ascii="Times New Roman" w:hAnsi="Times New Roman" w:cs="Times New Roman"/>
          <w:i/>
          <w:sz w:val="20"/>
          <w:szCs w:val="20"/>
          <w:lang w:val="en-US"/>
        </w:rPr>
        <w:t>Mestmäcker</w:t>
      </w:r>
      <w:proofErr w:type="spellEnd"/>
      <w:r w:rsidRPr="00BB3317">
        <w:rPr>
          <w:rFonts w:ascii="Times New Roman" w:hAnsi="Times New Roman" w:cs="Times New Roman"/>
          <w:i/>
          <w:sz w:val="20"/>
          <w:szCs w:val="20"/>
          <w:lang w:val="en-US"/>
        </w:rPr>
        <w:t>/Schweitzer</w:t>
      </w:r>
      <w:r w:rsidRPr="00BB3317">
        <w:rPr>
          <w:rFonts w:ascii="Times New Roman" w:hAnsi="Times New Roman" w:cs="Times New Roman"/>
          <w:sz w:val="20"/>
          <w:szCs w:val="20"/>
          <w:lang w:val="en-US"/>
        </w:rPr>
        <w:t xml:space="preserve">, in </w:t>
      </w:r>
      <w:proofErr w:type="spellStart"/>
      <w:r w:rsidRPr="00BB3317">
        <w:rPr>
          <w:rFonts w:ascii="Times New Roman" w:hAnsi="Times New Roman" w:cs="Times New Roman"/>
          <w:sz w:val="20"/>
          <w:szCs w:val="20"/>
          <w:lang w:val="en-US"/>
        </w:rPr>
        <w:t>Immenga</w:t>
      </w:r>
      <w:proofErr w:type="spellEnd"/>
      <w:r w:rsidRPr="00BB3317">
        <w:rPr>
          <w:rFonts w:ascii="Times New Roman" w:hAnsi="Times New Roman" w:cs="Times New Roman"/>
          <w:sz w:val="20"/>
          <w:szCs w:val="20"/>
          <w:lang w:val="en-US"/>
        </w:rPr>
        <w:t>/</w:t>
      </w:r>
      <w:proofErr w:type="spellStart"/>
      <w:r w:rsidRPr="00BB3317">
        <w:rPr>
          <w:rFonts w:ascii="Times New Roman" w:hAnsi="Times New Roman" w:cs="Times New Roman"/>
          <w:sz w:val="20"/>
          <w:szCs w:val="20"/>
          <w:lang w:val="en-US"/>
        </w:rPr>
        <w:t>Mestmäcker</w:t>
      </w:r>
      <w:proofErr w:type="spellEnd"/>
      <w:r w:rsidRPr="00BB3317">
        <w:rPr>
          <w:rFonts w:ascii="Times New Roman" w:hAnsi="Times New Roman" w:cs="Times New Roman"/>
          <w:sz w:val="20"/>
          <w:szCs w:val="20"/>
          <w:lang w:val="en-US"/>
        </w:rPr>
        <w:t xml:space="preserve">, </w:t>
      </w:r>
      <w:proofErr w:type="spellStart"/>
      <w:r w:rsidRPr="00BB3317">
        <w:rPr>
          <w:rFonts w:ascii="Times New Roman" w:hAnsi="Times New Roman" w:cs="Times New Roman"/>
          <w:sz w:val="20"/>
          <w:szCs w:val="20"/>
          <w:lang w:val="en-US"/>
        </w:rPr>
        <w:t>Wettbewerbsrecht</w:t>
      </w:r>
      <w:proofErr w:type="spellEnd"/>
      <w:r w:rsidRPr="00BB3317">
        <w:rPr>
          <w:rFonts w:ascii="Times New Roman" w:hAnsi="Times New Roman" w:cs="Times New Roman"/>
          <w:sz w:val="20"/>
          <w:szCs w:val="20"/>
          <w:lang w:val="en-US"/>
        </w:rPr>
        <w:t xml:space="preserve"> vol. </w:t>
      </w:r>
      <w:proofErr w:type="gramStart"/>
      <w:r w:rsidRPr="00BB3317">
        <w:rPr>
          <w:rFonts w:ascii="Times New Roman" w:hAnsi="Times New Roman" w:cs="Times New Roman"/>
          <w:sz w:val="20"/>
          <w:szCs w:val="20"/>
          <w:lang w:val="en-US"/>
        </w:rPr>
        <w:t>3, 5</w:t>
      </w:r>
      <w:r w:rsidRPr="00BB3317">
        <w:rPr>
          <w:rFonts w:ascii="Times New Roman" w:hAnsi="Times New Roman" w:cs="Times New Roman"/>
          <w:sz w:val="20"/>
          <w:szCs w:val="20"/>
          <w:vertAlign w:val="superscript"/>
          <w:lang w:val="en-US"/>
        </w:rPr>
        <w:t>th</w:t>
      </w:r>
      <w:r>
        <w:rPr>
          <w:rFonts w:ascii="Times New Roman" w:hAnsi="Times New Roman" w:cs="Times New Roman"/>
          <w:sz w:val="20"/>
          <w:szCs w:val="20"/>
          <w:lang w:val="en-US"/>
        </w:rPr>
        <w:t xml:space="preserve"> ed.</w:t>
      </w:r>
      <w:r w:rsidRPr="00BB3317">
        <w:rPr>
          <w:rFonts w:ascii="Times New Roman" w:hAnsi="Times New Roman" w:cs="Times New Roman"/>
          <w:sz w:val="20"/>
          <w:szCs w:val="20"/>
          <w:lang w:val="en-US"/>
        </w:rPr>
        <w:t xml:space="preserve"> 2016, </w:t>
      </w:r>
      <w:r>
        <w:rPr>
          <w:rFonts w:ascii="Times New Roman" w:hAnsi="Times New Roman" w:cs="Times New Roman"/>
          <w:sz w:val="20"/>
          <w:szCs w:val="20"/>
          <w:lang w:val="en-US"/>
        </w:rPr>
        <w:t>Section</w:t>
      </w:r>
      <w:r w:rsidRPr="00BB3317">
        <w:rPr>
          <w:rFonts w:ascii="Times New Roman" w:hAnsi="Times New Roman" w:cs="Times New Roman"/>
          <w:sz w:val="20"/>
          <w:szCs w:val="20"/>
          <w:lang w:val="en-US"/>
        </w:rPr>
        <w:t xml:space="preserve"> I. A. </w:t>
      </w:r>
      <w:r>
        <w:rPr>
          <w:rFonts w:ascii="Times New Roman" w:hAnsi="Times New Roman" w:cs="Times New Roman"/>
          <w:sz w:val="20"/>
          <w:szCs w:val="20"/>
          <w:lang w:val="en-US"/>
        </w:rPr>
        <w:t>no</w:t>
      </w:r>
      <w:r w:rsidRPr="00BB3317">
        <w:rPr>
          <w:rFonts w:ascii="Times New Roman" w:hAnsi="Times New Roman" w:cs="Times New Roman"/>
          <w:sz w:val="20"/>
          <w:szCs w:val="20"/>
          <w:lang w:val="en-US"/>
        </w:rPr>
        <w:t>. 1.</w:t>
      </w:r>
      <w:proofErr w:type="gramEnd"/>
    </w:p>
  </w:footnote>
  <w:footnote w:id="68">
    <w:p w14:paraId="6E498F87" w14:textId="450FBE3C" w:rsidR="00D13078" w:rsidRPr="00E66CF8" w:rsidRDefault="00D13078" w:rsidP="00BB3317">
      <w:pPr>
        <w:pStyle w:val="Funotentext"/>
        <w:jc w:val="both"/>
        <w:rPr>
          <w:rFonts w:ascii="Times New Roman" w:hAnsi="Times New Roman" w:cs="Times New Roman"/>
          <w:sz w:val="20"/>
          <w:szCs w:val="20"/>
        </w:rPr>
      </w:pPr>
      <w:r w:rsidRPr="00E66CF8">
        <w:rPr>
          <w:rStyle w:val="Funotenzeichen"/>
          <w:rFonts w:ascii="Times New Roman" w:hAnsi="Times New Roman" w:cs="Times New Roman"/>
          <w:sz w:val="20"/>
          <w:szCs w:val="20"/>
        </w:rPr>
        <w:footnoteRef/>
      </w:r>
      <w:r w:rsidRPr="00E66CF8">
        <w:rPr>
          <w:rFonts w:ascii="Times New Roman" w:hAnsi="Times New Roman" w:cs="Times New Roman"/>
          <w:sz w:val="20"/>
          <w:szCs w:val="20"/>
        </w:rPr>
        <w:t xml:space="preserve"> </w:t>
      </w:r>
      <w:r>
        <w:rPr>
          <w:rFonts w:ascii="Times New Roman" w:hAnsi="Times New Roman" w:cs="Times New Roman"/>
          <w:sz w:val="20"/>
          <w:szCs w:val="20"/>
        </w:rPr>
        <w:t xml:space="preserve">European Council </w:t>
      </w:r>
      <w:r w:rsidRPr="00E66CF8">
        <w:rPr>
          <w:rFonts w:ascii="Times New Roman" w:hAnsi="Times New Roman" w:cs="Times New Roman"/>
          <w:sz w:val="20"/>
          <w:szCs w:val="20"/>
        </w:rPr>
        <w:t>(</w:t>
      </w:r>
      <w:proofErr w:type="spellStart"/>
      <w:r w:rsidRPr="00E66CF8">
        <w:rPr>
          <w:rFonts w:ascii="Times New Roman" w:hAnsi="Times New Roman" w:cs="Times New Roman"/>
          <w:sz w:val="20"/>
          <w:szCs w:val="20"/>
        </w:rPr>
        <w:t>Arti</w:t>
      </w:r>
      <w:r>
        <w:rPr>
          <w:rFonts w:ascii="Times New Roman" w:hAnsi="Times New Roman" w:cs="Times New Roman"/>
          <w:sz w:val="20"/>
          <w:szCs w:val="20"/>
        </w:rPr>
        <w:t>cle</w:t>
      </w:r>
      <w:proofErr w:type="spellEnd"/>
      <w:r w:rsidRPr="00E66CF8">
        <w:rPr>
          <w:rFonts w:ascii="Times New Roman" w:hAnsi="Times New Roman" w:cs="Times New Roman"/>
          <w:sz w:val="20"/>
          <w:szCs w:val="20"/>
        </w:rPr>
        <w:t xml:space="preserve"> 50)</w:t>
      </w:r>
      <w:r>
        <w:rPr>
          <w:rFonts w:ascii="Times New Roman" w:hAnsi="Times New Roman" w:cs="Times New Roman"/>
          <w:sz w:val="20"/>
          <w:szCs w:val="20"/>
        </w:rPr>
        <w:t xml:space="preserve"> </w:t>
      </w:r>
      <w:proofErr w:type="spellStart"/>
      <w:r>
        <w:rPr>
          <w:rFonts w:ascii="Times New Roman" w:hAnsi="Times New Roman" w:cs="Times New Roman"/>
          <w:sz w:val="20"/>
          <w:szCs w:val="20"/>
        </w:rPr>
        <w:t>guidelines</w:t>
      </w:r>
      <w:proofErr w:type="spellEnd"/>
      <w:r>
        <w:rPr>
          <w:rFonts w:ascii="Times New Roman" w:hAnsi="Times New Roman" w:cs="Times New Roman"/>
          <w:sz w:val="20"/>
          <w:szCs w:val="20"/>
        </w:rPr>
        <w:t xml:space="preserve"> on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framework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for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future</w:t>
      </w:r>
      <w:proofErr w:type="spellEnd"/>
      <w:r>
        <w:rPr>
          <w:rFonts w:ascii="Times New Roman" w:hAnsi="Times New Roman" w:cs="Times New Roman"/>
          <w:sz w:val="20"/>
          <w:szCs w:val="20"/>
        </w:rPr>
        <w:t xml:space="preserve"> EU-UK </w:t>
      </w:r>
      <w:proofErr w:type="spellStart"/>
      <w:r>
        <w:rPr>
          <w:rFonts w:ascii="Times New Roman" w:hAnsi="Times New Roman" w:cs="Times New Roman"/>
          <w:sz w:val="20"/>
          <w:szCs w:val="20"/>
        </w:rPr>
        <w:t>relationship</w:t>
      </w:r>
      <w:proofErr w:type="spellEnd"/>
      <w:r>
        <w:rPr>
          <w:rFonts w:ascii="Times New Roman" w:hAnsi="Times New Roman" w:cs="Times New Roman"/>
          <w:sz w:val="20"/>
          <w:szCs w:val="20"/>
        </w:rPr>
        <w:t>,</w:t>
      </w:r>
      <w:r w:rsidRPr="00E66CF8">
        <w:rPr>
          <w:rFonts w:ascii="Times New Roman" w:hAnsi="Times New Roman" w:cs="Times New Roman"/>
          <w:sz w:val="20"/>
          <w:szCs w:val="20"/>
        </w:rPr>
        <w:t xml:space="preserve"> </w:t>
      </w:r>
      <w:proofErr w:type="spellStart"/>
      <w:r>
        <w:rPr>
          <w:rFonts w:ascii="Times New Roman" w:hAnsi="Times New Roman" w:cs="Times New Roman"/>
          <w:sz w:val="20"/>
          <w:szCs w:val="20"/>
        </w:rPr>
        <w:t>of</w:t>
      </w:r>
      <w:proofErr w:type="spellEnd"/>
      <w:r w:rsidRPr="00E66CF8">
        <w:rPr>
          <w:rFonts w:ascii="Times New Roman" w:hAnsi="Times New Roman" w:cs="Times New Roman"/>
          <w:sz w:val="20"/>
          <w:szCs w:val="20"/>
        </w:rPr>
        <w:t xml:space="preserve"> </w:t>
      </w:r>
      <w:r>
        <w:rPr>
          <w:rFonts w:ascii="Times New Roman" w:hAnsi="Times New Roman" w:cs="Times New Roman"/>
          <w:sz w:val="20"/>
          <w:szCs w:val="20"/>
        </w:rPr>
        <w:t>3/23/</w:t>
      </w:r>
      <w:r w:rsidRPr="00E66CF8">
        <w:rPr>
          <w:rFonts w:ascii="Times New Roman" w:hAnsi="Times New Roman" w:cs="Times New Roman"/>
          <w:sz w:val="20"/>
          <w:szCs w:val="20"/>
        </w:rPr>
        <w:t xml:space="preserve">2018, </w:t>
      </w:r>
      <w:proofErr w:type="spellStart"/>
      <w:r>
        <w:rPr>
          <w:rFonts w:ascii="Times New Roman" w:hAnsi="Times New Roman" w:cs="Times New Roman"/>
          <w:sz w:val="20"/>
          <w:szCs w:val="20"/>
        </w:rPr>
        <w:t>published</w:t>
      </w:r>
      <w:proofErr w:type="spellEnd"/>
      <w:r>
        <w:rPr>
          <w:rFonts w:ascii="Times New Roman" w:hAnsi="Times New Roman" w:cs="Times New Roman"/>
          <w:sz w:val="20"/>
          <w:szCs w:val="20"/>
        </w:rPr>
        <w:t xml:space="preserve"> at </w:t>
      </w:r>
      <w:r w:rsidRPr="00E66CF8">
        <w:rPr>
          <w:rFonts w:ascii="Times New Roman" w:hAnsi="Times New Roman" w:cs="Times New Roman"/>
          <w:sz w:val="20"/>
          <w:szCs w:val="20"/>
        </w:rPr>
        <w:t xml:space="preserve"> &lt;https://www.consilium.europa.eu/de/policies/eu-uk-after-referendum/&gt; (</w:t>
      </w:r>
      <w:proofErr w:type="spellStart"/>
      <w:r>
        <w:rPr>
          <w:rFonts w:ascii="Times New Roman" w:hAnsi="Times New Roman" w:cs="Times New Roman"/>
          <w:sz w:val="20"/>
          <w:szCs w:val="20"/>
        </w:rPr>
        <w:t>retrieved</w:t>
      </w:r>
      <w:proofErr w:type="spellEnd"/>
      <w:r>
        <w:rPr>
          <w:rFonts w:ascii="Times New Roman" w:hAnsi="Times New Roman" w:cs="Times New Roman"/>
          <w:sz w:val="20"/>
          <w:szCs w:val="20"/>
        </w:rPr>
        <w:t xml:space="preserve"> on 11/4/</w:t>
      </w:r>
      <w:r w:rsidRPr="00E66CF8">
        <w:rPr>
          <w:rFonts w:ascii="Times New Roman" w:hAnsi="Times New Roman" w:cs="Times New Roman"/>
          <w:sz w:val="20"/>
          <w:szCs w:val="20"/>
        </w:rPr>
        <w:t>2018).</w:t>
      </w:r>
    </w:p>
  </w:footnote>
  <w:footnote w:id="69">
    <w:p w14:paraId="64A55448" w14:textId="09525E08" w:rsidR="00D13078" w:rsidRPr="00E66CF8" w:rsidRDefault="00D13078" w:rsidP="00BB3317">
      <w:pPr>
        <w:pStyle w:val="Funotentext"/>
        <w:jc w:val="both"/>
        <w:rPr>
          <w:rFonts w:ascii="Times New Roman" w:hAnsi="Times New Roman" w:cs="Times New Roman"/>
          <w:sz w:val="20"/>
          <w:szCs w:val="20"/>
        </w:rPr>
      </w:pPr>
      <w:r w:rsidRPr="00E66CF8">
        <w:rPr>
          <w:rStyle w:val="Funotenzeichen"/>
          <w:rFonts w:ascii="Times New Roman" w:hAnsi="Times New Roman" w:cs="Times New Roman"/>
          <w:sz w:val="20"/>
          <w:szCs w:val="20"/>
        </w:rPr>
        <w:footnoteRef/>
      </w:r>
      <w:r w:rsidRPr="00E66CF8">
        <w:rPr>
          <w:rFonts w:ascii="Times New Roman" w:hAnsi="Times New Roman" w:cs="Times New Roman"/>
          <w:sz w:val="20"/>
          <w:szCs w:val="20"/>
        </w:rPr>
        <w:t xml:space="preserve"> </w:t>
      </w:r>
      <w:proofErr w:type="spellStart"/>
      <w:r>
        <w:rPr>
          <w:rFonts w:ascii="Times New Roman" w:hAnsi="Times New Roman" w:cs="Times New Roman"/>
          <w:sz w:val="20"/>
          <w:szCs w:val="20"/>
        </w:rPr>
        <w:t>Published</w:t>
      </w:r>
      <w:proofErr w:type="spellEnd"/>
      <w:r>
        <w:rPr>
          <w:rFonts w:ascii="Times New Roman" w:hAnsi="Times New Roman" w:cs="Times New Roman"/>
          <w:sz w:val="20"/>
          <w:szCs w:val="20"/>
        </w:rPr>
        <w:t xml:space="preserve"> at</w:t>
      </w:r>
      <w:r w:rsidRPr="00E66CF8">
        <w:rPr>
          <w:rFonts w:ascii="Times New Roman" w:hAnsi="Times New Roman" w:cs="Times New Roman"/>
          <w:sz w:val="20"/>
          <w:szCs w:val="20"/>
        </w:rPr>
        <w:t xml:space="preserve"> &lt;https://www.gov.uk/government/publications/the-future-relationship-between-the-united-kingdom-and-the-european-union&gt; (</w:t>
      </w:r>
      <w:proofErr w:type="spellStart"/>
      <w:r>
        <w:rPr>
          <w:rFonts w:ascii="Times New Roman" w:hAnsi="Times New Roman" w:cs="Times New Roman"/>
          <w:sz w:val="20"/>
          <w:szCs w:val="20"/>
        </w:rPr>
        <w:t>retrieved</w:t>
      </w:r>
      <w:proofErr w:type="spellEnd"/>
      <w:r>
        <w:rPr>
          <w:rFonts w:ascii="Times New Roman" w:hAnsi="Times New Roman" w:cs="Times New Roman"/>
          <w:sz w:val="20"/>
          <w:szCs w:val="20"/>
        </w:rPr>
        <w:t xml:space="preserve"> on</w:t>
      </w:r>
      <w:r w:rsidRPr="00E66CF8">
        <w:rPr>
          <w:rFonts w:ascii="Times New Roman" w:hAnsi="Times New Roman" w:cs="Times New Roman"/>
          <w:sz w:val="20"/>
          <w:szCs w:val="20"/>
        </w:rPr>
        <w:t xml:space="preserve"> </w:t>
      </w:r>
      <w:r>
        <w:rPr>
          <w:rFonts w:ascii="Times New Roman" w:hAnsi="Times New Roman" w:cs="Times New Roman"/>
          <w:sz w:val="20"/>
          <w:szCs w:val="20"/>
        </w:rPr>
        <w:t>11/4/</w:t>
      </w:r>
      <w:r w:rsidRPr="00E66CF8">
        <w:rPr>
          <w:rFonts w:ascii="Times New Roman" w:hAnsi="Times New Roman" w:cs="Times New Roman"/>
          <w:sz w:val="20"/>
          <w:szCs w:val="20"/>
        </w:rPr>
        <w:t>2018).</w:t>
      </w:r>
    </w:p>
  </w:footnote>
  <w:footnote w:id="70">
    <w:p w14:paraId="5EC7F495" w14:textId="5CBCE621" w:rsidR="00D13078" w:rsidRPr="00E66CF8" w:rsidRDefault="00D13078" w:rsidP="00B1224F">
      <w:pPr>
        <w:pStyle w:val="Funotentext"/>
        <w:jc w:val="both"/>
        <w:rPr>
          <w:rFonts w:ascii="Times New Roman" w:hAnsi="Times New Roman" w:cs="Times New Roman"/>
          <w:sz w:val="20"/>
          <w:szCs w:val="20"/>
          <w:lang w:val="en-US"/>
        </w:rPr>
      </w:pPr>
      <w:r w:rsidRPr="00E66CF8">
        <w:rPr>
          <w:rStyle w:val="Funotenzeichen"/>
          <w:rFonts w:ascii="Times New Roman" w:hAnsi="Times New Roman" w:cs="Times New Roman"/>
          <w:sz w:val="20"/>
          <w:szCs w:val="20"/>
        </w:rPr>
        <w:footnoteRef/>
      </w:r>
      <w:r w:rsidRPr="00E66CF8">
        <w:rPr>
          <w:rFonts w:ascii="Times New Roman" w:hAnsi="Times New Roman" w:cs="Times New Roman"/>
          <w:sz w:val="20"/>
          <w:szCs w:val="20"/>
          <w:lang w:val="en-US"/>
        </w:rPr>
        <w:t xml:space="preserve"> </w:t>
      </w:r>
      <w:proofErr w:type="gramStart"/>
      <w:r w:rsidRPr="00E66CF8">
        <w:rPr>
          <w:rFonts w:ascii="Times New Roman" w:hAnsi="Times New Roman" w:cs="Times New Roman"/>
          <w:sz w:val="20"/>
          <w:szCs w:val="20"/>
          <w:lang w:val="en-US"/>
        </w:rPr>
        <w:t xml:space="preserve">HMG, </w:t>
      </w:r>
      <w:r>
        <w:rPr>
          <w:rFonts w:ascii="Times New Roman" w:hAnsi="Times New Roman" w:cs="Times New Roman"/>
          <w:sz w:val="20"/>
          <w:szCs w:val="20"/>
          <w:lang w:val="en-US"/>
        </w:rPr>
        <w:t>White Paper</w:t>
      </w:r>
      <w:r w:rsidRPr="00E66CF8">
        <w:rPr>
          <w:rFonts w:ascii="Times New Roman" w:hAnsi="Times New Roman" w:cs="Times New Roman"/>
          <w:sz w:val="20"/>
          <w:szCs w:val="20"/>
          <w:lang w:val="en-US"/>
        </w:rPr>
        <w:t xml:space="preserve">, Executive Summary / Economic partnership </w:t>
      </w:r>
      <w:r>
        <w:rPr>
          <w:rFonts w:ascii="Times New Roman" w:hAnsi="Times New Roman" w:cs="Times New Roman"/>
          <w:sz w:val="20"/>
          <w:szCs w:val="20"/>
          <w:lang w:val="en-US"/>
        </w:rPr>
        <w:t>p</w:t>
      </w:r>
      <w:r w:rsidRPr="00E66CF8">
        <w:rPr>
          <w:rFonts w:ascii="Times New Roman" w:hAnsi="Times New Roman" w:cs="Times New Roman"/>
          <w:sz w:val="20"/>
          <w:szCs w:val="20"/>
          <w:lang w:val="en-US"/>
        </w:rPr>
        <w:t>. 9</w:t>
      </w:r>
      <w:r>
        <w:rPr>
          <w:rFonts w:ascii="Times New Roman" w:hAnsi="Times New Roman" w:cs="Times New Roman"/>
          <w:sz w:val="20"/>
          <w:szCs w:val="20"/>
          <w:lang w:val="en-US"/>
        </w:rPr>
        <w:t>, and point</w:t>
      </w:r>
      <w:r w:rsidRPr="00E66CF8">
        <w:rPr>
          <w:rFonts w:ascii="Times New Roman" w:hAnsi="Times New Roman" w:cs="Times New Roman"/>
          <w:sz w:val="20"/>
          <w:szCs w:val="20"/>
          <w:lang w:val="en-US"/>
        </w:rPr>
        <w:t xml:space="preserve"> 7.</w:t>
      </w:r>
      <w:proofErr w:type="gramEnd"/>
    </w:p>
  </w:footnote>
  <w:footnote w:id="71">
    <w:p w14:paraId="19B4CD0F" w14:textId="477BB661" w:rsidR="00D13078" w:rsidRPr="00E66CF8" w:rsidRDefault="00D13078" w:rsidP="006A1E84">
      <w:pPr>
        <w:pStyle w:val="Funotentext"/>
        <w:jc w:val="both"/>
        <w:rPr>
          <w:rFonts w:ascii="Times New Roman" w:hAnsi="Times New Roman" w:cs="Times New Roman"/>
          <w:sz w:val="20"/>
          <w:szCs w:val="20"/>
          <w:lang w:val="en-US"/>
        </w:rPr>
      </w:pPr>
      <w:r w:rsidRPr="00E66CF8">
        <w:rPr>
          <w:rStyle w:val="Funotenzeichen"/>
          <w:rFonts w:ascii="Times New Roman" w:hAnsi="Times New Roman" w:cs="Times New Roman"/>
          <w:sz w:val="20"/>
          <w:szCs w:val="20"/>
        </w:rPr>
        <w:footnoteRef/>
      </w:r>
      <w:r w:rsidRPr="00E66CF8">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Pr="00E66CF8">
        <w:rPr>
          <w:rFonts w:ascii="Times New Roman" w:hAnsi="Times New Roman" w:cs="Times New Roman"/>
          <w:sz w:val="20"/>
          <w:szCs w:val="20"/>
          <w:lang w:val="en-US"/>
        </w:rPr>
        <w:t>ub II. 2.</w:t>
      </w:r>
    </w:p>
  </w:footnote>
  <w:footnote w:id="72">
    <w:p w14:paraId="46BE4871" w14:textId="39C64D6B" w:rsidR="00D13078" w:rsidRPr="00E66CF8" w:rsidRDefault="00D13078" w:rsidP="00F80EC9">
      <w:pPr>
        <w:pStyle w:val="Funotentext"/>
        <w:rPr>
          <w:rFonts w:ascii="Times New Roman" w:hAnsi="Times New Roman" w:cs="Times New Roman"/>
          <w:sz w:val="20"/>
          <w:szCs w:val="20"/>
          <w:lang w:val="en-US"/>
        </w:rPr>
      </w:pPr>
      <w:r w:rsidRPr="00E66CF8">
        <w:rPr>
          <w:rStyle w:val="Funotenzeichen"/>
          <w:rFonts w:ascii="Times New Roman" w:hAnsi="Times New Roman" w:cs="Times New Roman"/>
          <w:sz w:val="20"/>
          <w:szCs w:val="20"/>
        </w:rPr>
        <w:footnoteRef/>
      </w:r>
      <w:r w:rsidRPr="00E66CF8">
        <w:rPr>
          <w:rFonts w:ascii="Times New Roman" w:hAnsi="Times New Roman" w:cs="Times New Roman"/>
          <w:sz w:val="20"/>
          <w:szCs w:val="20"/>
          <w:lang w:val="en-US"/>
        </w:rPr>
        <w:t xml:space="preserve"> </w:t>
      </w:r>
      <w:proofErr w:type="gramStart"/>
      <w:r w:rsidRPr="00E66CF8">
        <w:rPr>
          <w:rFonts w:ascii="Times New Roman" w:hAnsi="Times New Roman" w:cs="Times New Roman"/>
          <w:sz w:val="20"/>
          <w:szCs w:val="20"/>
          <w:lang w:val="en-US"/>
        </w:rPr>
        <w:t xml:space="preserve">HMG, </w:t>
      </w:r>
      <w:r>
        <w:rPr>
          <w:rFonts w:ascii="Times New Roman" w:hAnsi="Times New Roman" w:cs="Times New Roman"/>
          <w:sz w:val="20"/>
          <w:szCs w:val="20"/>
          <w:lang w:val="en-US"/>
        </w:rPr>
        <w:t>White Paper</w:t>
      </w:r>
      <w:r w:rsidRPr="00E66CF8">
        <w:rPr>
          <w:rFonts w:ascii="Times New Roman" w:hAnsi="Times New Roman" w:cs="Times New Roman"/>
          <w:sz w:val="20"/>
          <w:szCs w:val="20"/>
          <w:lang w:val="en-US"/>
        </w:rPr>
        <w:t xml:space="preserve">, Executive Summary / A practical Brexit </w:t>
      </w:r>
      <w:r>
        <w:rPr>
          <w:rFonts w:ascii="Times New Roman" w:hAnsi="Times New Roman" w:cs="Times New Roman"/>
          <w:sz w:val="20"/>
          <w:szCs w:val="20"/>
          <w:lang w:val="en-US"/>
        </w:rPr>
        <w:t>p</w:t>
      </w:r>
      <w:r w:rsidRPr="00E66CF8">
        <w:rPr>
          <w:rFonts w:ascii="Times New Roman" w:hAnsi="Times New Roman" w:cs="Times New Roman"/>
          <w:sz w:val="20"/>
          <w:szCs w:val="20"/>
          <w:lang w:val="en-US"/>
        </w:rPr>
        <w:t>. 11.</w:t>
      </w:r>
      <w:proofErr w:type="gramEnd"/>
      <w:r w:rsidRPr="00E66CF8">
        <w:rPr>
          <w:rFonts w:ascii="Times New Roman" w:hAnsi="Times New Roman" w:cs="Times New Roman"/>
          <w:sz w:val="20"/>
          <w:szCs w:val="20"/>
          <w:lang w:val="en-US"/>
        </w:rPr>
        <w:t xml:space="preserve"> </w:t>
      </w:r>
    </w:p>
  </w:footnote>
  <w:footnote w:id="73">
    <w:p w14:paraId="04016B97" w14:textId="0DA5F291" w:rsidR="00D13078" w:rsidRPr="00E66CF8" w:rsidRDefault="00D13078" w:rsidP="004D19E3">
      <w:pPr>
        <w:pStyle w:val="Funotentext"/>
        <w:jc w:val="both"/>
      </w:pPr>
      <w:r w:rsidRPr="00E66CF8">
        <w:rPr>
          <w:rStyle w:val="Funotenzeichen"/>
          <w:rFonts w:ascii="Times New Roman" w:hAnsi="Times New Roman" w:cs="Times New Roman"/>
          <w:sz w:val="20"/>
          <w:szCs w:val="20"/>
        </w:rPr>
        <w:footnoteRef/>
      </w:r>
      <w:r w:rsidRPr="00E66CF8">
        <w:rPr>
          <w:rFonts w:ascii="Times New Roman" w:hAnsi="Times New Roman" w:cs="Times New Roman"/>
          <w:sz w:val="20"/>
          <w:szCs w:val="20"/>
        </w:rPr>
        <w:t xml:space="preserve"> HMG, </w:t>
      </w:r>
      <w:r>
        <w:rPr>
          <w:rFonts w:ascii="Times New Roman" w:hAnsi="Times New Roman" w:cs="Times New Roman"/>
          <w:sz w:val="20"/>
          <w:szCs w:val="20"/>
        </w:rPr>
        <w:t>White Paper</w:t>
      </w:r>
      <w:r w:rsidRPr="00E66CF8">
        <w:rPr>
          <w:rFonts w:ascii="Times New Roman" w:hAnsi="Times New Roman" w:cs="Times New Roman"/>
          <w:sz w:val="20"/>
          <w:szCs w:val="20"/>
        </w:rPr>
        <w:t xml:space="preserve">, </w:t>
      </w:r>
      <w:proofErr w:type="spellStart"/>
      <w:r>
        <w:rPr>
          <w:rFonts w:ascii="Times New Roman" w:hAnsi="Times New Roman" w:cs="Times New Roman"/>
          <w:sz w:val="20"/>
          <w:szCs w:val="20"/>
        </w:rPr>
        <w:t>point</w:t>
      </w:r>
      <w:proofErr w:type="spellEnd"/>
      <w:r w:rsidRPr="00E66CF8">
        <w:rPr>
          <w:rFonts w:ascii="Times New Roman" w:hAnsi="Times New Roman" w:cs="Times New Roman"/>
          <w:sz w:val="20"/>
          <w:szCs w:val="20"/>
        </w:rPr>
        <w:t xml:space="preserve"> 111.</w:t>
      </w:r>
    </w:p>
  </w:footnote>
  <w:footnote w:id="74">
    <w:p w14:paraId="72E45030" w14:textId="0DCBA366" w:rsidR="00D13078" w:rsidRPr="00E66CF8" w:rsidRDefault="00D13078" w:rsidP="00D35A37">
      <w:pPr>
        <w:pStyle w:val="Funotentext"/>
        <w:jc w:val="both"/>
      </w:pPr>
      <w:r w:rsidRPr="00E66CF8">
        <w:rPr>
          <w:rStyle w:val="Funotenzeichen"/>
          <w:rFonts w:ascii="Times New Roman" w:hAnsi="Times New Roman" w:cs="Times New Roman"/>
          <w:sz w:val="20"/>
          <w:szCs w:val="20"/>
        </w:rPr>
        <w:footnoteRef/>
      </w:r>
      <w:r w:rsidRPr="00E66CF8">
        <w:rPr>
          <w:rFonts w:ascii="Times New Roman" w:hAnsi="Times New Roman" w:cs="Times New Roman"/>
          <w:sz w:val="20"/>
          <w:szCs w:val="20"/>
        </w:rPr>
        <w:t xml:space="preserve"> HMG, </w:t>
      </w:r>
      <w:r>
        <w:rPr>
          <w:rFonts w:ascii="Times New Roman" w:hAnsi="Times New Roman" w:cs="Times New Roman"/>
          <w:sz w:val="20"/>
          <w:szCs w:val="20"/>
        </w:rPr>
        <w:t>White Paper</w:t>
      </w:r>
      <w:r w:rsidRPr="00E66CF8">
        <w:rPr>
          <w:rFonts w:ascii="Times New Roman" w:hAnsi="Times New Roman" w:cs="Times New Roman"/>
          <w:sz w:val="20"/>
          <w:szCs w:val="20"/>
        </w:rPr>
        <w:t xml:space="preserve">, </w:t>
      </w:r>
      <w:proofErr w:type="spellStart"/>
      <w:r>
        <w:rPr>
          <w:rFonts w:ascii="Times New Roman" w:hAnsi="Times New Roman" w:cs="Times New Roman"/>
          <w:sz w:val="20"/>
          <w:szCs w:val="20"/>
        </w:rPr>
        <w:t>point</w:t>
      </w:r>
      <w:proofErr w:type="spellEnd"/>
      <w:r w:rsidRPr="00E66CF8">
        <w:rPr>
          <w:rFonts w:ascii="Times New Roman" w:hAnsi="Times New Roman" w:cs="Times New Roman"/>
          <w:sz w:val="20"/>
          <w:szCs w:val="20"/>
        </w:rPr>
        <w:t xml:space="preserve"> 112.</w:t>
      </w:r>
    </w:p>
  </w:footnote>
  <w:footnote w:id="75">
    <w:p w14:paraId="4509D2AB" w14:textId="009301AE" w:rsidR="00D13078" w:rsidRPr="00E66CF8" w:rsidRDefault="00D13078" w:rsidP="00DF3706">
      <w:pPr>
        <w:pStyle w:val="Funotentext"/>
        <w:rPr>
          <w:rFonts w:ascii="Times New Roman" w:hAnsi="Times New Roman" w:cs="Times New Roman"/>
          <w:sz w:val="20"/>
          <w:szCs w:val="20"/>
        </w:rPr>
      </w:pPr>
      <w:r w:rsidRPr="00E66CF8">
        <w:rPr>
          <w:rStyle w:val="Funotenzeichen"/>
          <w:rFonts w:ascii="Times New Roman" w:hAnsi="Times New Roman" w:cs="Times New Roman"/>
          <w:sz w:val="20"/>
          <w:szCs w:val="20"/>
        </w:rPr>
        <w:footnoteRef/>
      </w:r>
      <w:r w:rsidRPr="00E66CF8">
        <w:rPr>
          <w:rFonts w:ascii="Times New Roman" w:hAnsi="Times New Roman" w:cs="Times New Roman"/>
          <w:sz w:val="20"/>
          <w:szCs w:val="20"/>
        </w:rPr>
        <w:t xml:space="preserve"> S</w:t>
      </w:r>
      <w:r>
        <w:rPr>
          <w:rFonts w:ascii="Times New Roman" w:hAnsi="Times New Roman" w:cs="Times New Roman"/>
          <w:sz w:val="20"/>
          <w:szCs w:val="20"/>
        </w:rPr>
        <w:t xml:space="preserve">ee </w:t>
      </w:r>
      <w:proofErr w:type="spellStart"/>
      <w:r>
        <w:rPr>
          <w:rFonts w:ascii="Times New Roman" w:hAnsi="Times New Roman" w:cs="Times New Roman"/>
          <w:sz w:val="20"/>
          <w:szCs w:val="20"/>
        </w:rPr>
        <w:t>above</w:t>
      </w:r>
      <w:proofErr w:type="spellEnd"/>
      <w:r w:rsidR="00736776">
        <w:rPr>
          <w:rFonts w:ascii="Times New Roman" w:hAnsi="Times New Roman" w:cs="Times New Roman"/>
          <w:sz w:val="20"/>
          <w:szCs w:val="20"/>
        </w:rPr>
        <w:t>,</w:t>
      </w:r>
      <w:r w:rsidRPr="00E66CF8">
        <w:rPr>
          <w:rFonts w:ascii="Times New Roman" w:hAnsi="Times New Roman" w:cs="Times New Roman"/>
          <w:sz w:val="20"/>
          <w:szCs w:val="20"/>
        </w:rPr>
        <w:t xml:space="preserve"> </w:t>
      </w:r>
      <w:proofErr w:type="spellStart"/>
      <w:r w:rsidRPr="00E66CF8">
        <w:rPr>
          <w:rFonts w:ascii="Times New Roman" w:hAnsi="Times New Roman" w:cs="Times New Roman"/>
          <w:sz w:val="20"/>
          <w:szCs w:val="20"/>
        </w:rPr>
        <w:t>sub</w:t>
      </w:r>
      <w:proofErr w:type="spellEnd"/>
      <w:r w:rsidRPr="00E66CF8">
        <w:rPr>
          <w:rFonts w:ascii="Times New Roman" w:hAnsi="Times New Roman" w:cs="Times New Roman"/>
          <w:sz w:val="20"/>
          <w:szCs w:val="20"/>
        </w:rPr>
        <w:t xml:space="preserve"> III. 1. b).</w:t>
      </w:r>
    </w:p>
  </w:footnote>
  <w:footnote w:id="76">
    <w:p w14:paraId="3C86BD18" w14:textId="4D0C6992" w:rsidR="00D13078" w:rsidRPr="00E66CF8" w:rsidRDefault="00D13078" w:rsidP="00CF41BE">
      <w:pPr>
        <w:pStyle w:val="Funotentext"/>
        <w:jc w:val="both"/>
        <w:rPr>
          <w:rFonts w:ascii="Times New Roman" w:hAnsi="Times New Roman" w:cs="Times New Roman"/>
          <w:sz w:val="20"/>
          <w:szCs w:val="20"/>
          <w:lang w:val="en-US"/>
        </w:rPr>
      </w:pPr>
      <w:r w:rsidRPr="00E66CF8">
        <w:rPr>
          <w:rStyle w:val="Funotenzeichen"/>
          <w:rFonts w:ascii="Times New Roman" w:hAnsi="Times New Roman" w:cs="Times New Roman"/>
          <w:sz w:val="20"/>
          <w:szCs w:val="20"/>
        </w:rPr>
        <w:footnoteRef/>
      </w:r>
      <w:r w:rsidRPr="00E66CF8">
        <w:rPr>
          <w:rFonts w:ascii="Times New Roman" w:hAnsi="Times New Roman" w:cs="Times New Roman"/>
          <w:sz w:val="20"/>
          <w:szCs w:val="20"/>
          <w:lang w:val="en-US"/>
        </w:rPr>
        <w:t xml:space="preserve"> </w:t>
      </w:r>
      <w:proofErr w:type="spellStart"/>
      <w:r w:rsidRPr="00E66CF8">
        <w:rPr>
          <w:rFonts w:ascii="Times New Roman" w:hAnsi="Times New Roman" w:cs="Times New Roman"/>
          <w:i/>
          <w:sz w:val="20"/>
          <w:szCs w:val="20"/>
          <w:lang w:val="en-US"/>
        </w:rPr>
        <w:t>Nicolaides</w:t>
      </w:r>
      <w:proofErr w:type="spellEnd"/>
      <w:r w:rsidRPr="00E66CF8">
        <w:rPr>
          <w:rFonts w:ascii="Times New Roman" w:hAnsi="Times New Roman" w:cs="Times New Roman"/>
          <w:sz w:val="20"/>
          <w:szCs w:val="20"/>
          <w:lang w:val="en-US"/>
        </w:rPr>
        <w:t xml:space="preserve">, State Aid Control in the UK after its Exit from the European Union, </w:t>
      </w:r>
      <w:r>
        <w:rPr>
          <w:rFonts w:ascii="Times New Roman" w:hAnsi="Times New Roman" w:cs="Times New Roman"/>
          <w:sz w:val="20"/>
          <w:szCs w:val="20"/>
          <w:lang w:val="en-US"/>
        </w:rPr>
        <w:t>article of</w:t>
      </w:r>
      <w:r w:rsidRPr="00E66CF8">
        <w:rPr>
          <w:rFonts w:ascii="Times New Roman" w:hAnsi="Times New Roman" w:cs="Times New Roman"/>
          <w:sz w:val="20"/>
          <w:szCs w:val="20"/>
          <w:lang w:val="en-US"/>
        </w:rPr>
        <w:t xml:space="preserve"> </w:t>
      </w:r>
      <w:r>
        <w:rPr>
          <w:rFonts w:ascii="Times New Roman" w:hAnsi="Times New Roman" w:cs="Times New Roman"/>
          <w:sz w:val="20"/>
          <w:szCs w:val="20"/>
          <w:lang w:val="en-US"/>
        </w:rPr>
        <w:t>8/13/</w:t>
      </w:r>
      <w:r w:rsidRPr="00E66CF8">
        <w:rPr>
          <w:rFonts w:ascii="Times New Roman" w:hAnsi="Times New Roman" w:cs="Times New Roman"/>
          <w:sz w:val="20"/>
          <w:szCs w:val="20"/>
          <w:lang w:val="en-US"/>
        </w:rPr>
        <w:t>2018</w:t>
      </w:r>
      <w:r>
        <w:rPr>
          <w:rFonts w:ascii="Times New Roman" w:hAnsi="Times New Roman" w:cs="Times New Roman"/>
          <w:sz w:val="20"/>
          <w:szCs w:val="20"/>
          <w:lang w:val="en-US"/>
        </w:rPr>
        <w:t xml:space="preserve"> published</w:t>
      </w:r>
      <w:r w:rsidRPr="00E66CF8">
        <w:rPr>
          <w:rFonts w:ascii="Times New Roman" w:hAnsi="Times New Roman" w:cs="Times New Roman"/>
          <w:sz w:val="20"/>
          <w:szCs w:val="20"/>
          <w:lang w:val="en-US"/>
        </w:rPr>
        <w:t xml:space="preserve"> </w:t>
      </w:r>
      <w:r>
        <w:rPr>
          <w:rFonts w:ascii="Times New Roman" w:hAnsi="Times New Roman" w:cs="Times New Roman"/>
          <w:sz w:val="20"/>
          <w:szCs w:val="20"/>
          <w:lang w:val="en-US"/>
        </w:rPr>
        <w:t>on</w:t>
      </w:r>
      <w:r w:rsidRPr="00E66CF8">
        <w:rPr>
          <w:rFonts w:ascii="Times New Roman" w:hAnsi="Times New Roman" w:cs="Times New Roman"/>
          <w:sz w:val="20"/>
          <w:szCs w:val="20"/>
          <w:lang w:val="en-US"/>
        </w:rPr>
        <w:t xml:space="preserve"> StateAidHub.eu, </w:t>
      </w:r>
      <w:r>
        <w:rPr>
          <w:rFonts w:ascii="Times New Roman" w:hAnsi="Times New Roman" w:cs="Times New Roman"/>
          <w:sz w:val="20"/>
          <w:szCs w:val="20"/>
          <w:lang w:val="en-US"/>
        </w:rPr>
        <w:t>available at</w:t>
      </w:r>
      <w:r w:rsidRPr="00E66CF8">
        <w:rPr>
          <w:rFonts w:ascii="Times New Roman" w:hAnsi="Times New Roman" w:cs="Times New Roman"/>
          <w:sz w:val="20"/>
          <w:szCs w:val="20"/>
          <w:lang w:val="en-US"/>
        </w:rPr>
        <w:t xml:space="preserve"> &lt;http://stateaidhub.eu/blogs/stateaiduncovered/post/9293&gt;, sub </w:t>
      </w:r>
      <w:r>
        <w:rPr>
          <w:rFonts w:ascii="Times New Roman" w:hAnsi="Times New Roman" w:cs="Times New Roman"/>
          <w:sz w:val="20"/>
          <w:szCs w:val="20"/>
          <w:lang w:val="en-US"/>
        </w:rPr>
        <w:t>“</w:t>
      </w:r>
      <w:r w:rsidRPr="00E66CF8">
        <w:rPr>
          <w:rFonts w:ascii="Times New Roman" w:hAnsi="Times New Roman" w:cs="Times New Roman"/>
          <w:color w:val="000000" w:themeColor="text1"/>
          <w:sz w:val="20"/>
          <w:szCs w:val="20"/>
          <w:lang w:val="en-US"/>
        </w:rPr>
        <w:t>The Northern Ireland Factor</w:t>
      </w:r>
      <w:r>
        <w:rPr>
          <w:rFonts w:ascii="Times New Roman" w:hAnsi="Times New Roman" w:cs="Times New Roman"/>
          <w:color w:val="000000" w:themeColor="text1"/>
          <w:sz w:val="20"/>
          <w:szCs w:val="20"/>
          <w:lang w:val="en-US"/>
        </w:rPr>
        <w:t>”</w:t>
      </w:r>
      <w:r w:rsidRPr="00E66CF8">
        <w:rPr>
          <w:rFonts w:ascii="Times New Roman" w:hAnsi="Times New Roman" w:cs="Times New Roman"/>
          <w:color w:val="000000" w:themeColor="text1"/>
          <w:sz w:val="20"/>
          <w:szCs w:val="20"/>
          <w:lang w:val="en-US"/>
        </w:rPr>
        <w:t xml:space="preserve"> </w:t>
      </w:r>
      <w:r w:rsidRPr="00E66CF8">
        <w:rPr>
          <w:rFonts w:ascii="Times New Roman" w:hAnsi="Times New Roman" w:cs="Times New Roman"/>
          <w:sz w:val="20"/>
          <w:szCs w:val="20"/>
          <w:lang w:val="en-US"/>
        </w:rPr>
        <w:t>(</w:t>
      </w:r>
      <w:r>
        <w:rPr>
          <w:rFonts w:ascii="Times New Roman" w:hAnsi="Times New Roman" w:cs="Times New Roman"/>
          <w:sz w:val="20"/>
          <w:szCs w:val="20"/>
          <w:lang w:val="en-US"/>
        </w:rPr>
        <w:t>retrieved on</w:t>
      </w:r>
      <w:r w:rsidRPr="00E66CF8">
        <w:rPr>
          <w:rFonts w:ascii="Times New Roman" w:hAnsi="Times New Roman" w:cs="Times New Roman"/>
          <w:sz w:val="20"/>
          <w:szCs w:val="20"/>
          <w:lang w:val="en-US"/>
        </w:rPr>
        <w:t xml:space="preserve"> </w:t>
      </w:r>
      <w:r>
        <w:rPr>
          <w:rFonts w:ascii="Times New Roman" w:hAnsi="Times New Roman" w:cs="Times New Roman"/>
          <w:sz w:val="20"/>
          <w:szCs w:val="20"/>
          <w:lang w:val="en-US"/>
        </w:rPr>
        <w:t>11/4/</w:t>
      </w:r>
      <w:r w:rsidRPr="00E66CF8">
        <w:rPr>
          <w:rFonts w:ascii="Times New Roman" w:hAnsi="Times New Roman" w:cs="Times New Roman"/>
          <w:sz w:val="20"/>
          <w:szCs w:val="20"/>
          <w:lang w:val="en-US"/>
        </w:rPr>
        <w:t>2018).</w:t>
      </w:r>
    </w:p>
  </w:footnote>
  <w:footnote w:id="77">
    <w:p w14:paraId="60C0399F" w14:textId="4B56E161" w:rsidR="00D13078" w:rsidRPr="00E66CF8" w:rsidRDefault="00D13078" w:rsidP="00EC62DD">
      <w:pPr>
        <w:pStyle w:val="Funotentext"/>
        <w:jc w:val="both"/>
      </w:pPr>
      <w:r w:rsidRPr="00E66CF8">
        <w:rPr>
          <w:rStyle w:val="Funotenzeichen"/>
          <w:rFonts w:ascii="Times New Roman" w:hAnsi="Times New Roman" w:cs="Times New Roman"/>
          <w:sz w:val="20"/>
          <w:szCs w:val="20"/>
        </w:rPr>
        <w:footnoteRef/>
      </w:r>
      <w:r w:rsidRPr="00E66CF8">
        <w:rPr>
          <w:rFonts w:ascii="Times New Roman" w:hAnsi="Times New Roman" w:cs="Times New Roman"/>
          <w:sz w:val="20"/>
          <w:szCs w:val="20"/>
        </w:rPr>
        <w:t xml:space="preserve"> HMG, </w:t>
      </w:r>
      <w:r>
        <w:rPr>
          <w:rFonts w:ascii="Times New Roman" w:hAnsi="Times New Roman" w:cs="Times New Roman"/>
          <w:sz w:val="20"/>
          <w:szCs w:val="20"/>
        </w:rPr>
        <w:t>White Paper</w:t>
      </w:r>
      <w:r w:rsidRPr="00E66CF8">
        <w:rPr>
          <w:rFonts w:ascii="Times New Roman" w:hAnsi="Times New Roman" w:cs="Times New Roman"/>
          <w:sz w:val="20"/>
          <w:szCs w:val="20"/>
        </w:rPr>
        <w:t xml:space="preserve">, </w:t>
      </w:r>
      <w:proofErr w:type="spellStart"/>
      <w:r>
        <w:rPr>
          <w:rFonts w:ascii="Times New Roman" w:hAnsi="Times New Roman" w:cs="Times New Roman"/>
          <w:sz w:val="20"/>
          <w:szCs w:val="20"/>
        </w:rPr>
        <w:t>point</w:t>
      </w:r>
      <w:proofErr w:type="spellEnd"/>
      <w:r w:rsidRPr="00E66CF8">
        <w:rPr>
          <w:rFonts w:ascii="Times New Roman" w:hAnsi="Times New Roman" w:cs="Times New Roman"/>
          <w:sz w:val="20"/>
          <w:szCs w:val="20"/>
        </w:rPr>
        <w:t xml:space="preserve"> 111.</w:t>
      </w:r>
    </w:p>
  </w:footnote>
  <w:footnote w:id="78">
    <w:p w14:paraId="5D96A104" w14:textId="5D3CCD0B" w:rsidR="00D13078" w:rsidRPr="00E66CF8" w:rsidRDefault="00D13078" w:rsidP="00595982">
      <w:pPr>
        <w:pStyle w:val="Funotentext"/>
        <w:jc w:val="both"/>
        <w:rPr>
          <w:rFonts w:ascii="Times New Roman" w:hAnsi="Times New Roman" w:cs="Times New Roman"/>
          <w:sz w:val="20"/>
          <w:szCs w:val="20"/>
        </w:rPr>
      </w:pPr>
      <w:r w:rsidRPr="00E66CF8">
        <w:rPr>
          <w:rStyle w:val="Funotenzeichen"/>
          <w:rFonts w:ascii="Times New Roman" w:hAnsi="Times New Roman" w:cs="Times New Roman"/>
          <w:sz w:val="20"/>
          <w:szCs w:val="20"/>
        </w:rPr>
        <w:footnoteRef/>
      </w:r>
      <w:r w:rsidRPr="00E66CF8">
        <w:rPr>
          <w:rFonts w:ascii="Times New Roman" w:hAnsi="Times New Roman" w:cs="Times New Roman"/>
          <w:sz w:val="20"/>
          <w:szCs w:val="20"/>
        </w:rPr>
        <w:t xml:space="preserve"> S</w:t>
      </w:r>
      <w:r>
        <w:rPr>
          <w:rFonts w:ascii="Times New Roman" w:hAnsi="Times New Roman" w:cs="Times New Roman"/>
          <w:sz w:val="20"/>
          <w:szCs w:val="20"/>
        </w:rPr>
        <w:t xml:space="preserve">ee </w:t>
      </w:r>
      <w:proofErr w:type="spellStart"/>
      <w:r>
        <w:rPr>
          <w:rFonts w:ascii="Times New Roman" w:hAnsi="Times New Roman" w:cs="Times New Roman"/>
          <w:sz w:val="20"/>
          <w:szCs w:val="20"/>
        </w:rPr>
        <w:t>above</w:t>
      </w:r>
      <w:proofErr w:type="spellEnd"/>
      <w:r w:rsidR="00736776">
        <w:rPr>
          <w:rFonts w:ascii="Times New Roman" w:hAnsi="Times New Roman" w:cs="Times New Roman"/>
          <w:sz w:val="20"/>
          <w:szCs w:val="20"/>
        </w:rPr>
        <w:t>,</w:t>
      </w:r>
      <w:r w:rsidRPr="00E66CF8">
        <w:rPr>
          <w:rFonts w:ascii="Times New Roman" w:hAnsi="Times New Roman" w:cs="Times New Roman"/>
          <w:sz w:val="20"/>
          <w:szCs w:val="20"/>
        </w:rPr>
        <w:t xml:space="preserve"> </w:t>
      </w:r>
      <w:proofErr w:type="spellStart"/>
      <w:r w:rsidRPr="00E66CF8">
        <w:rPr>
          <w:rFonts w:ascii="Times New Roman" w:hAnsi="Times New Roman" w:cs="Times New Roman"/>
          <w:sz w:val="20"/>
          <w:szCs w:val="20"/>
        </w:rPr>
        <w:t>sub</w:t>
      </w:r>
      <w:proofErr w:type="spellEnd"/>
      <w:r w:rsidRPr="00E66CF8">
        <w:rPr>
          <w:rFonts w:ascii="Times New Roman" w:hAnsi="Times New Roman" w:cs="Times New Roman"/>
          <w:sz w:val="20"/>
          <w:szCs w:val="20"/>
        </w:rPr>
        <w:t xml:space="preserve"> III. 1. b).</w:t>
      </w:r>
    </w:p>
  </w:footnote>
  <w:footnote w:id="79">
    <w:p w14:paraId="3343EB48" w14:textId="07BC48AD" w:rsidR="00736776" w:rsidRPr="00514428" w:rsidRDefault="00736776" w:rsidP="00736776">
      <w:pPr>
        <w:pStyle w:val="Funotentext"/>
        <w:jc w:val="both"/>
        <w:rPr>
          <w:rFonts w:ascii="Times New Roman" w:hAnsi="Times New Roman" w:cs="Times New Roman"/>
          <w:sz w:val="20"/>
          <w:szCs w:val="20"/>
        </w:rPr>
      </w:pPr>
      <w:r w:rsidRPr="00E66CF8">
        <w:rPr>
          <w:rStyle w:val="Funotenzeichen"/>
          <w:rFonts w:ascii="Times New Roman" w:hAnsi="Times New Roman" w:cs="Times New Roman"/>
          <w:sz w:val="20"/>
          <w:szCs w:val="20"/>
        </w:rPr>
        <w:footnoteRef/>
      </w:r>
      <w:r w:rsidRPr="00E66CF8">
        <w:rPr>
          <w:rFonts w:ascii="Times New Roman" w:hAnsi="Times New Roman" w:cs="Times New Roman"/>
          <w:sz w:val="20"/>
          <w:szCs w:val="20"/>
        </w:rPr>
        <w:t xml:space="preserve"> S</w:t>
      </w:r>
      <w:r>
        <w:rPr>
          <w:rFonts w:ascii="Times New Roman" w:hAnsi="Times New Roman" w:cs="Times New Roman"/>
          <w:sz w:val="20"/>
          <w:szCs w:val="20"/>
        </w:rPr>
        <w:t xml:space="preserve">ee </w:t>
      </w:r>
      <w:proofErr w:type="spellStart"/>
      <w:r>
        <w:rPr>
          <w:rFonts w:ascii="Times New Roman" w:hAnsi="Times New Roman" w:cs="Times New Roman"/>
          <w:sz w:val="20"/>
          <w:szCs w:val="20"/>
        </w:rPr>
        <w:t>above</w:t>
      </w:r>
      <w:proofErr w:type="spellEnd"/>
      <w:r>
        <w:rPr>
          <w:rFonts w:ascii="Times New Roman" w:hAnsi="Times New Roman" w:cs="Times New Roman"/>
          <w:sz w:val="20"/>
          <w:szCs w:val="20"/>
        </w:rPr>
        <w:t>,</w:t>
      </w:r>
      <w:r w:rsidRPr="00E66CF8">
        <w:rPr>
          <w:rFonts w:ascii="Times New Roman" w:hAnsi="Times New Roman" w:cs="Times New Roman"/>
          <w:sz w:val="20"/>
          <w:szCs w:val="20"/>
        </w:rPr>
        <w:t xml:space="preserve"> </w:t>
      </w:r>
      <w:proofErr w:type="spellStart"/>
      <w:r>
        <w:rPr>
          <w:rFonts w:ascii="Times New Roman" w:hAnsi="Times New Roman" w:cs="Times New Roman"/>
          <w:sz w:val="20"/>
          <w:szCs w:val="20"/>
        </w:rPr>
        <w:t>sub</w:t>
      </w:r>
      <w:proofErr w:type="spellEnd"/>
      <w:r w:rsidRPr="00E66CF8">
        <w:rPr>
          <w:rFonts w:ascii="Times New Roman" w:hAnsi="Times New Roman" w:cs="Times New Roman"/>
          <w:sz w:val="20"/>
          <w:szCs w:val="20"/>
        </w:rPr>
        <w:t xml:space="preserve"> II. 3. b).</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onsecutiveHyphenLimit w:val="5"/>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487"/>
    <w:rsid w:val="000004A4"/>
    <w:rsid w:val="000013F1"/>
    <w:rsid w:val="000019DB"/>
    <w:rsid w:val="00004950"/>
    <w:rsid w:val="00004A60"/>
    <w:rsid w:val="00004CB8"/>
    <w:rsid w:val="0000669E"/>
    <w:rsid w:val="000146A2"/>
    <w:rsid w:val="00014EC4"/>
    <w:rsid w:val="000151EB"/>
    <w:rsid w:val="000152C4"/>
    <w:rsid w:val="00017E74"/>
    <w:rsid w:val="000239A3"/>
    <w:rsid w:val="00024644"/>
    <w:rsid w:val="00025204"/>
    <w:rsid w:val="000270F2"/>
    <w:rsid w:val="00030606"/>
    <w:rsid w:val="000328E8"/>
    <w:rsid w:val="0003290B"/>
    <w:rsid w:val="000350DE"/>
    <w:rsid w:val="00042229"/>
    <w:rsid w:val="00042C46"/>
    <w:rsid w:val="00043BA3"/>
    <w:rsid w:val="00044ED4"/>
    <w:rsid w:val="0004583B"/>
    <w:rsid w:val="00046C47"/>
    <w:rsid w:val="00051D33"/>
    <w:rsid w:val="00051EAF"/>
    <w:rsid w:val="00052208"/>
    <w:rsid w:val="00054DFA"/>
    <w:rsid w:val="00056DD5"/>
    <w:rsid w:val="00060963"/>
    <w:rsid w:val="00061FF4"/>
    <w:rsid w:val="00064EC4"/>
    <w:rsid w:val="00065470"/>
    <w:rsid w:val="00070721"/>
    <w:rsid w:val="000713F1"/>
    <w:rsid w:val="00081092"/>
    <w:rsid w:val="00083BBA"/>
    <w:rsid w:val="00083F86"/>
    <w:rsid w:val="000845FF"/>
    <w:rsid w:val="000850B7"/>
    <w:rsid w:val="00090910"/>
    <w:rsid w:val="00090EA6"/>
    <w:rsid w:val="00091B39"/>
    <w:rsid w:val="00091F91"/>
    <w:rsid w:val="000924FC"/>
    <w:rsid w:val="00092E6F"/>
    <w:rsid w:val="00096F4A"/>
    <w:rsid w:val="0009712D"/>
    <w:rsid w:val="000A1AE1"/>
    <w:rsid w:val="000A1EA1"/>
    <w:rsid w:val="000A22F5"/>
    <w:rsid w:val="000A34BF"/>
    <w:rsid w:val="000A360A"/>
    <w:rsid w:val="000A4A29"/>
    <w:rsid w:val="000A6822"/>
    <w:rsid w:val="000A717A"/>
    <w:rsid w:val="000A719D"/>
    <w:rsid w:val="000B130F"/>
    <w:rsid w:val="000B1732"/>
    <w:rsid w:val="000B21B5"/>
    <w:rsid w:val="000B2879"/>
    <w:rsid w:val="000B3105"/>
    <w:rsid w:val="000B31CB"/>
    <w:rsid w:val="000B3B90"/>
    <w:rsid w:val="000B3CA4"/>
    <w:rsid w:val="000B77B2"/>
    <w:rsid w:val="000C2654"/>
    <w:rsid w:val="000C5B2C"/>
    <w:rsid w:val="000C6944"/>
    <w:rsid w:val="000D2314"/>
    <w:rsid w:val="000D5026"/>
    <w:rsid w:val="000D583D"/>
    <w:rsid w:val="000D7583"/>
    <w:rsid w:val="000E3514"/>
    <w:rsid w:val="000E45E9"/>
    <w:rsid w:val="000E4764"/>
    <w:rsid w:val="000E54A9"/>
    <w:rsid w:val="000F0FCC"/>
    <w:rsid w:val="000F30E7"/>
    <w:rsid w:val="000F4025"/>
    <w:rsid w:val="000F4056"/>
    <w:rsid w:val="000F485A"/>
    <w:rsid w:val="000F7275"/>
    <w:rsid w:val="001002AB"/>
    <w:rsid w:val="001045BC"/>
    <w:rsid w:val="0010496A"/>
    <w:rsid w:val="00104DC3"/>
    <w:rsid w:val="001063E3"/>
    <w:rsid w:val="001066C3"/>
    <w:rsid w:val="00106AAB"/>
    <w:rsid w:val="00116CF4"/>
    <w:rsid w:val="00116F64"/>
    <w:rsid w:val="001220C6"/>
    <w:rsid w:val="00122A3E"/>
    <w:rsid w:val="001233DA"/>
    <w:rsid w:val="00124EC6"/>
    <w:rsid w:val="001253EA"/>
    <w:rsid w:val="00126C27"/>
    <w:rsid w:val="00135138"/>
    <w:rsid w:val="00135DBB"/>
    <w:rsid w:val="00143C09"/>
    <w:rsid w:val="00145DF9"/>
    <w:rsid w:val="00146110"/>
    <w:rsid w:val="00146184"/>
    <w:rsid w:val="00147902"/>
    <w:rsid w:val="00147E91"/>
    <w:rsid w:val="00150C13"/>
    <w:rsid w:val="00151540"/>
    <w:rsid w:val="00160469"/>
    <w:rsid w:val="00162FBA"/>
    <w:rsid w:val="00165AF9"/>
    <w:rsid w:val="00165FCB"/>
    <w:rsid w:val="00166E21"/>
    <w:rsid w:val="00170843"/>
    <w:rsid w:val="00170AA7"/>
    <w:rsid w:val="00170C5F"/>
    <w:rsid w:val="00170E53"/>
    <w:rsid w:val="00172B85"/>
    <w:rsid w:val="00173467"/>
    <w:rsid w:val="00173FD9"/>
    <w:rsid w:val="00175C22"/>
    <w:rsid w:val="00176339"/>
    <w:rsid w:val="00176EED"/>
    <w:rsid w:val="001779A4"/>
    <w:rsid w:val="0018082A"/>
    <w:rsid w:val="0018209B"/>
    <w:rsid w:val="00185D02"/>
    <w:rsid w:val="00190DD3"/>
    <w:rsid w:val="001966EB"/>
    <w:rsid w:val="001A1FF7"/>
    <w:rsid w:val="001A4498"/>
    <w:rsid w:val="001A576C"/>
    <w:rsid w:val="001A605E"/>
    <w:rsid w:val="001A7BE7"/>
    <w:rsid w:val="001B0E64"/>
    <w:rsid w:val="001B2FCB"/>
    <w:rsid w:val="001B4184"/>
    <w:rsid w:val="001B46E7"/>
    <w:rsid w:val="001C0DB1"/>
    <w:rsid w:val="001C1447"/>
    <w:rsid w:val="001C383C"/>
    <w:rsid w:val="001C54DF"/>
    <w:rsid w:val="001C733D"/>
    <w:rsid w:val="001D04A7"/>
    <w:rsid w:val="001D1036"/>
    <w:rsid w:val="001D2A09"/>
    <w:rsid w:val="001D4A83"/>
    <w:rsid w:val="001D53E1"/>
    <w:rsid w:val="001D5D84"/>
    <w:rsid w:val="001D60A8"/>
    <w:rsid w:val="001D68BE"/>
    <w:rsid w:val="001D69A2"/>
    <w:rsid w:val="001D6C2C"/>
    <w:rsid w:val="001E12D6"/>
    <w:rsid w:val="001E1ECE"/>
    <w:rsid w:val="001E1FBC"/>
    <w:rsid w:val="001E22AD"/>
    <w:rsid w:val="001E3FC5"/>
    <w:rsid w:val="001E4956"/>
    <w:rsid w:val="001F2224"/>
    <w:rsid w:val="001F2998"/>
    <w:rsid w:val="001F32C0"/>
    <w:rsid w:val="001F371D"/>
    <w:rsid w:val="001F4630"/>
    <w:rsid w:val="001F6D89"/>
    <w:rsid w:val="00200BF2"/>
    <w:rsid w:val="00201C45"/>
    <w:rsid w:val="002029C3"/>
    <w:rsid w:val="002031D6"/>
    <w:rsid w:val="002078E0"/>
    <w:rsid w:val="00207CCD"/>
    <w:rsid w:val="00210E20"/>
    <w:rsid w:val="002143C0"/>
    <w:rsid w:val="00214469"/>
    <w:rsid w:val="00214EE4"/>
    <w:rsid w:val="0021630D"/>
    <w:rsid w:val="00223AFA"/>
    <w:rsid w:val="00224EE4"/>
    <w:rsid w:val="002273BD"/>
    <w:rsid w:val="0023080B"/>
    <w:rsid w:val="00230BA5"/>
    <w:rsid w:val="00231241"/>
    <w:rsid w:val="002322F4"/>
    <w:rsid w:val="00232346"/>
    <w:rsid w:val="002353CC"/>
    <w:rsid w:val="0023692D"/>
    <w:rsid w:val="002371D2"/>
    <w:rsid w:val="00237D47"/>
    <w:rsid w:val="00240507"/>
    <w:rsid w:val="00241A92"/>
    <w:rsid w:val="0024217C"/>
    <w:rsid w:val="00247C1D"/>
    <w:rsid w:val="00251339"/>
    <w:rsid w:val="002518B6"/>
    <w:rsid w:val="00251EAF"/>
    <w:rsid w:val="002560E3"/>
    <w:rsid w:val="002561B6"/>
    <w:rsid w:val="00257232"/>
    <w:rsid w:val="00257895"/>
    <w:rsid w:val="002664DC"/>
    <w:rsid w:val="00266A53"/>
    <w:rsid w:val="00267A7F"/>
    <w:rsid w:val="00267FF8"/>
    <w:rsid w:val="00270ED5"/>
    <w:rsid w:val="002711C6"/>
    <w:rsid w:val="00272286"/>
    <w:rsid w:val="00273056"/>
    <w:rsid w:val="002737FF"/>
    <w:rsid w:val="00274556"/>
    <w:rsid w:val="00275172"/>
    <w:rsid w:val="00275D70"/>
    <w:rsid w:val="00276990"/>
    <w:rsid w:val="00283E01"/>
    <w:rsid w:val="00284053"/>
    <w:rsid w:val="00284E91"/>
    <w:rsid w:val="00285E75"/>
    <w:rsid w:val="002878E7"/>
    <w:rsid w:val="00290D35"/>
    <w:rsid w:val="00291679"/>
    <w:rsid w:val="002930F0"/>
    <w:rsid w:val="0029466C"/>
    <w:rsid w:val="00295539"/>
    <w:rsid w:val="00295CF0"/>
    <w:rsid w:val="002979B5"/>
    <w:rsid w:val="002A44B6"/>
    <w:rsid w:val="002A4F49"/>
    <w:rsid w:val="002A4FB8"/>
    <w:rsid w:val="002A6C1C"/>
    <w:rsid w:val="002A6CB8"/>
    <w:rsid w:val="002A736D"/>
    <w:rsid w:val="002B035F"/>
    <w:rsid w:val="002B098C"/>
    <w:rsid w:val="002B1607"/>
    <w:rsid w:val="002B51DC"/>
    <w:rsid w:val="002B6C1D"/>
    <w:rsid w:val="002B79FA"/>
    <w:rsid w:val="002C1B00"/>
    <w:rsid w:val="002C57D3"/>
    <w:rsid w:val="002C6302"/>
    <w:rsid w:val="002D1565"/>
    <w:rsid w:val="002D1E73"/>
    <w:rsid w:val="002D2503"/>
    <w:rsid w:val="002D2584"/>
    <w:rsid w:val="002D3C54"/>
    <w:rsid w:val="002E14FC"/>
    <w:rsid w:val="002E4455"/>
    <w:rsid w:val="002E4A06"/>
    <w:rsid w:val="002F1296"/>
    <w:rsid w:val="002F4FFE"/>
    <w:rsid w:val="002F6225"/>
    <w:rsid w:val="002F7E1F"/>
    <w:rsid w:val="003001A4"/>
    <w:rsid w:val="003006D1"/>
    <w:rsid w:val="00300B50"/>
    <w:rsid w:val="00300B52"/>
    <w:rsid w:val="003015E6"/>
    <w:rsid w:val="003028DF"/>
    <w:rsid w:val="00302914"/>
    <w:rsid w:val="00303CCF"/>
    <w:rsid w:val="00303D61"/>
    <w:rsid w:val="00304252"/>
    <w:rsid w:val="003042A4"/>
    <w:rsid w:val="0030522E"/>
    <w:rsid w:val="00305358"/>
    <w:rsid w:val="003112E0"/>
    <w:rsid w:val="003113CC"/>
    <w:rsid w:val="0031342F"/>
    <w:rsid w:val="003165ED"/>
    <w:rsid w:val="00317D5C"/>
    <w:rsid w:val="00320B37"/>
    <w:rsid w:val="00322F2B"/>
    <w:rsid w:val="00323D99"/>
    <w:rsid w:val="003259BB"/>
    <w:rsid w:val="0032627A"/>
    <w:rsid w:val="003277C0"/>
    <w:rsid w:val="00330EBC"/>
    <w:rsid w:val="003326F2"/>
    <w:rsid w:val="00334DC5"/>
    <w:rsid w:val="00336E63"/>
    <w:rsid w:val="0034208F"/>
    <w:rsid w:val="003426D5"/>
    <w:rsid w:val="0034569C"/>
    <w:rsid w:val="00345880"/>
    <w:rsid w:val="00345E34"/>
    <w:rsid w:val="003467F3"/>
    <w:rsid w:val="00346866"/>
    <w:rsid w:val="00347BB0"/>
    <w:rsid w:val="0035124C"/>
    <w:rsid w:val="00353E39"/>
    <w:rsid w:val="0035436C"/>
    <w:rsid w:val="003566CF"/>
    <w:rsid w:val="00356A8B"/>
    <w:rsid w:val="00356AAB"/>
    <w:rsid w:val="00360ADB"/>
    <w:rsid w:val="00364AD9"/>
    <w:rsid w:val="00365162"/>
    <w:rsid w:val="00365CB7"/>
    <w:rsid w:val="0036648D"/>
    <w:rsid w:val="00367078"/>
    <w:rsid w:val="00367437"/>
    <w:rsid w:val="00370443"/>
    <w:rsid w:val="00371E20"/>
    <w:rsid w:val="0037356C"/>
    <w:rsid w:val="00375720"/>
    <w:rsid w:val="00375735"/>
    <w:rsid w:val="00380DEC"/>
    <w:rsid w:val="003838CD"/>
    <w:rsid w:val="00383C26"/>
    <w:rsid w:val="00385283"/>
    <w:rsid w:val="00385954"/>
    <w:rsid w:val="003869DC"/>
    <w:rsid w:val="00390823"/>
    <w:rsid w:val="00391230"/>
    <w:rsid w:val="00392990"/>
    <w:rsid w:val="00392C58"/>
    <w:rsid w:val="0039352D"/>
    <w:rsid w:val="00395CCE"/>
    <w:rsid w:val="00396D35"/>
    <w:rsid w:val="003A7A81"/>
    <w:rsid w:val="003B207A"/>
    <w:rsid w:val="003B5483"/>
    <w:rsid w:val="003B5D73"/>
    <w:rsid w:val="003B631A"/>
    <w:rsid w:val="003B678E"/>
    <w:rsid w:val="003C1B03"/>
    <w:rsid w:val="003C4AD2"/>
    <w:rsid w:val="003C524A"/>
    <w:rsid w:val="003C77E0"/>
    <w:rsid w:val="003C7D98"/>
    <w:rsid w:val="003D0318"/>
    <w:rsid w:val="003D06C7"/>
    <w:rsid w:val="003D0C95"/>
    <w:rsid w:val="003D1435"/>
    <w:rsid w:val="003D259A"/>
    <w:rsid w:val="003D5F31"/>
    <w:rsid w:val="003D6394"/>
    <w:rsid w:val="003D7FD0"/>
    <w:rsid w:val="003E1094"/>
    <w:rsid w:val="003E196C"/>
    <w:rsid w:val="003E1F8B"/>
    <w:rsid w:val="003E2B64"/>
    <w:rsid w:val="003E49FF"/>
    <w:rsid w:val="003E6ACB"/>
    <w:rsid w:val="003F18C0"/>
    <w:rsid w:val="003F5F8A"/>
    <w:rsid w:val="004026C0"/>
    <w:rsid w:val="00403E0A"/>
    <w:rsid w:val="00406596"/>
    <w:rsid w:val="0041163E"/>
    <w:rsid w:val="004136F7"/>
    <w:rsid w:val="004145C3"/>
    <w:rsid w:val="0041661E"/>
    <w:rsid w:val="00417C01"/>
    <w:rsid w:val="00421609"/>
    <w:rsid w:val="0042189A"/>
    <w:rsid w:val="00423C96"/>
    <w:rsid w:val="00423FFD"/>
    <w:rsid w:val="004275E5"/>
    <w:rsid w:val="0042760E"/>
    <w:rsid w:val="00434422"/>
    <w:rsid w:val="00436936"/>
    <w:rsid w:val="00436F34"/>
    <w:rsid w:val="00440A0F"/>
    <w:rsid w:val="00441490"/>
    <w:rsid w:val="004418AD"/>
    <w:rsid w:val="00442604"/>
    <w:rsid w:val="00445CDA"/>
    <w:rsid w:val="00446655"/>
    <w:rsid w:val="00446820"/>
    <w:rsid w:val="00446D22"/>
    <w:rsid w:val="00446EE1"/>
    <w:rsid w:val="00447393"/>
    <w:rsid w:val="00455D0D"/>
    <w:rsid w:val="00455F06"/>
    <w:rsid w:val="00456CEE"/>
    <w:rsid w:val="00463F12"/>
    <w:rsid w:val="004651C9"/>
    <w:rsid w:val="00466526"/>
    <w:rsid w:val="004679CD"/>
    <w:rsid w:val="00472ADE"/>
    <w:rsid w:val="00475200"/>
    <w:rsid w:val="00475B31"/>
    <w:rsid w:val="00476819"/>
    <w:rsid w:val="004777F3"/>
    <w:rsid w:val="00482071"/>
    <w:rsid w:val="0048243B"/>
    <w:rsid w:val="00485F1C"/>
    <w:rsid w:val="00485F58"/>
    <w:rsid w:val="00487A78"/>
    <w:rsid w:val="00491F28"/>
    <w:rsid w:val="00493296"/>
    <w:rsid w:val="004953B6"/>
    <w:rsid w:val="00495D26"/>
    <w:rsid w:val="00496AE9"/>
    <w:rsid w:val="00497C52"/>
    <w:rsid w:val="004A16B4"/>
    <w:rsid w:val="004A1827"/>
    <w:rsid w:val="004A362D"/>
    <w:rsid w:val="004A48B6"/>
    <w:rsid w:val="004B0160"/>
    <w:rsid w:val="004B1972"/>
    <w:rsid w:val="004B3004"/>
    <w:rsid w:val="004B4009"/>
    <w:rsid w:val="004B4123"/>
    <w:rsid w:val="004B59F2"/>
    <w:rsid w:val="004B5D8C"/>
    <w:rsid w:val="004B68E5"/>
    <w:rsid w:val="004B7DB9"/>
    <w:rsid w:val="004C04F8"/>
    <w:rsid w:val="004C20A2"/>
    <w:rsid w:val="004C51A4"/>
    <w:rsid w:val="004C5763"/>
    <w:rsid w:val="004C5ECE"/>
    <w:rsid w:val="004D01E9"/>
    <w:rsid w:val="004D1462"/>
    <w:rsid w:val="004D19E3"/>
    <w:rsid w:val="004D52B3"/>
    <w:rsid w:val="004D5345"/>
    <w:rsid w:val="004D6BE5"/>
    <w:rsid w:val="004E0305"/>
    <w:rsid w:val="004E16B6"/>
    <w:rsid w:val="004E1F94"/>
    <w:rsid w:val="004E3A74"/>
    <w:rsid w:val="004E4575"/>
    <w:rsid w:val="004E634B"/>
    <w:rsid w:val="004E7D5C"/>
    <w:rsid w:val="004E7FB3"/>
    <w:rsid w:val="004F0D0B"/>
    <w:rsid w:val="004F1D57"/>
    <w:rsid w:val="004F4DF3"/>
    <w:rsid w:val="004F63E0"/>
    <w:rsid w:val="004F7492"/>
    <w:rsid w:val="004F75CC"/>
    <w:rsid w:val="004F77CF"/>
    <w:rsid w:val="004F7CEA"/>
    <w:rsid w:val="004F7DC5"/>
    <w:rsid w:val="00501292"/>
    <w:rsid w:val="005013BD"/>
    <w:rsid w:val="005015DA"/>
    <w:rsid w:val="005027F2"/>
    <w:rsid w:val="00503A8E"/>
    <w:rsid w:val="005102A2"/>
    <w:rsid w:val="00510467"/>
    <w:rsid w:val="00510D55"/>
    <w:rsid w:val="00511221"/>
    <w:rsid w:val="0051139D"/>
    <w:rsid w:val="00511F29"/>
    <w:rsid w:val="00513772"/>
    <w:rsid w:val="00513983"/>
    <w:rsid w:val="00514428"/>
    <w:rsid w:val="005163E5"/>
    <w:rsid w:val="005174AB"/>
    <w:rsid w:val="005200B4"/>
    <w:rsid w:val="00523E64"/>
    <w:rsid w:val="00524789"/>
    <w:rsid w:val="005247C1"/>
    <w:rsid w:val="00525CC3"/>
    <w:rsid w:val="00527239"/>
    <w:rsid w:val="00530E6E"/>
    <w:rsid w:val="00531927"/>
    <w:rsid w:val="00531F0F"/>
    <w:rsid w:val="00532509"/>
    <w:rsid w:val="00534D67"/>
    <w:rsid w:val="00536192"/>
    <w:rsid w:val="00536F6C"/>
    <w:rsid w:val="00537279"/>
    <w:rsid w:val="00543F53"/>
    <w:rsid w:val="00545F58"/>
    <w:rsid w:val="0055069D"/>
    <w:rsid w:val="005543F5"/>
    <w:rsid w:val="00554B61"/>
    <w:rsid w:val="00555E15"/>
    <w:rsid w:val="00556739"/>
    <w:rsid w:val="00557397"/>
    <w:rsid w:val="005575A2"/>
    <w:rsid w:val="00557829"/>
    <w:rsid w:val="00562F07"/>
    <w:rsid w:val="00563783"/>
    <w:rsid w:val="0056468A"/>
    <w:rsid w:val="005725D2"/>
    <w:rsid w:val="005725E4"/>
    <w:rsid w:val="00577E7B"/>
    <w:rsid w:val="00580D97"/>
    <w:rsid w:val="00592689"/>
    <w:rsid w:val="005928F7"/>
    <w:rsid w:val="005945C5"/>
    <w:rsid w:val="00595377"/>
    <w:rsid w:val="00595982"/>
    <w:rsid w:val="005970C0"/>
    <w:rsid w:val="005A0694"/>
    <w:rsid w:val="005A0B96"/>
    <w:rsid w:val="005A1C3E"/>
    <w:rsid w:val="005A1E1C"/>
    <w:rsid w:val="005A511E"/>
    <w:rsid w:val="005A5183"/>
    <w:rsid w:val="005A53AA"/>
    <w:rsid w:val="005A6E3C"/>
    <w:rsid w:val="005B0FD3"/>
    <w:rsid w:val="005B211A"/>
    <w:rsid w:val="005B4D0E"/>
    <w:rsid w:val="005B563F"/>
    <w:rsid w:val="005B67BB"/>
    <w:rsid w:val="005C0096"/>
    <w:rsid w:val="005C0B85"/>
    <w:rsid w:val="005C1DEB"/>
    <w:rsid w:val="005C2919"/>
    <w:rsid w:val="005C6E94"/>
    <w:rsid w:val="005D0674"/>
    <w:rsid w:val="005D082D"/>
    <w:rsid w:val="005D218F"/>
    <w:rsid w:val="005D30A1"/>
    <w:rsid w:val="005D3A85"/>
    <w:rsid w:val="005D5CB5"/>
    <w:rsid w:val="005D6509"/>
    <w:rsid w:val="005D7292"/>
    <w:rsid w:val="005D7F83"/>
    <w:rsid w:val="005E0BC4"/>
    <w:rsid w:val="005E5DCD"/>
    <w:rsid w:val="005E7250"/>
    <w:rsid w:val="005E7E9A"/>
    <w:rsid w:val="005F5505"/>
    <w:rsid w:val="005F6541"/>
    <w:rsid w:val="005F6D5F"/>
    <w:rsid w:val="00600124"/>
    <w:rsid w:val="0060065D"/>
    <w:rsid w:val="0060152D"/>
    <w:rsid w:val="0060185F"/>
    <w:rsid w:val="00602ADD"/>
    <w:rsid w:val="0060492D"/>
    <w:rsid w:val="0060580B"/>
    <w:rsid w:val="00613FD4"/>
    <w:rsid w:val="00615AAA"/>
    <w:rsid w:val="00620F22"/>
    <w:rsid w:val="00626A01"/>
    <w:rsid w:val="00626CD1"/>
    <w:rsid w:val="00627D08"/>
    <w:rsid w:val="00630DEC"/>
    <w:rsid w:val="00631AA9"/>
    <w:rsid w:val="006343FC"/>
    <w:rsid w:val="006365C0"/>
    <w:rsid w:val="0063729B"/>
    <w:rsid w:val="006375E0"/>
    <w:rsid w:val="00637E04"/>
    <w:rsid w:val="006416D8"/>
    <w:rsid w:val="00646DD1"/>
    <w:rsid w:val="006476E0"/>
    <w:rsid w:val="00647884"/>
    <w:rsid w:val="0065018B"/>
    <w:rsid w:val="00650291"/>
    <w:rsid w:val="006504DF"/>
    <w:rsid w:val="00651A88"/>
    <w:rsid w:val="006534AC"/>
    <w:rsid w:val="00653975"/>
    <w:rsid w:val="00656DF5"/>
    <w:rsid w:val="0066167F"/>
    <w:rsid w:val="00663589"/>
    <w:rsid w:val="00663E97"/>
    <w:rsid w:val="00670851"/>
    <w:rsid w:val="00671C42"/>
    <w:rsid w:val="00673000"/>
    <w:rsid w:val="006739C8"/>
    <w:rsid w:val="006766A9"/>
    <w:rsid w:val="0068075E"/>
    <w:rsid w:val="00681970"/>
    <w:rsid w:val="0068332F"/>
    <w:rsid w:val="0068350B"/>
    <w:rsid w:val="006847C1"/>
    <w:rsid w:val="00686D23"/>
    <w:rsid w:val="0068700C"/>
    <w:rsid w:val="00687CB3"/>
    <w:rsid w:val="0069098B"/>
    <w:rsid w:val="006A0364"/>
    <w:rsid w:val="006A0A4F"/>
    <w:rsid w:val="006A1E84"/>
    <w:rsid w:val="006A3970"/>
    <w:rsid w:val="006A3E54"/>
    <w:rsid w:val="006A4A6E"/>
    <w:rsid w:val="006A506F"/>
    <w:rsid w:val="006A7125"/>
    <w:rsid w:val="006A7273"/>
    <w:rsid w:val="006B1481"/>
    <w:rsid w:val="006B2D45"/>
    <w:rsid w:val="006B2DCB"/>
    <w:rsid w:val="006B3F1D"/>
    <w:rsid w:val="006B42AE"/>
    <w:rsid w:val="006B74FE"/>
    <w:rsid w:val="006C0D65"/>
    <w:rsid w:val="006C11C0"/>
    <w:rsid w:val="006C2769"/>
    <w:rsid w:val="006C292F"/>
    <w:rsid w:val="006C7CB7"/>
    <w:rsid w:val="006D2B5B"/>
    <w:rsid w:val="006D4FAB"/>
    <w:rsid w:val="006D581B"/>
    <w:rsid w:val="006D6533"/>
    <w:rsid w:val="006D787A"/>
    <w:rsid w:val="006E0982"/>
    <w:rsid w:val="006E0E26"/>
    <w:rsid w:val="006E1F8C"/>
    <w:rsid w:val="006E2663"/>
    <w:rsid w:val="006E2C6E"/>
    <w:rsid w:val="006E7744"/>
    <w:rsid w:val="006F0C67"/>
    <w:rsid w:val="006F51CD"/>
    <w:rsid w:val="00700725"/>
    <w:rsid w:val="00702CB0"/>
    <w:rsid w:val="00705081"/>
    <w:rsid w:val="00705152"/>
    <w:rsid w:val="00707FB3"/>
    <w:rsid w:val="007116F1"/>
    <w:rsid w:val="007134B8"/>
    <w:rsid w:val="007153F8"/>
    <w:rsid w:val="00715FFD"/>
    <w:rsid w:val="00720058"/>
    <w:rsid w:val="007208B1"/>
    <w:rsid w:val="00721194"/>
    <w:rsid w:val="00723410"/>
    <w:rsid w:val="0072471A"/>
    <w:rsid w:val="007275F0"/>
    <w:rsid w:val="00733B51"/>
    <w:rsid w:val="007343AF"/>
    <w:rsid w:val="007351C3"/>
    <w:rsid w:val="00736776"/>
    <w:rsid w:val="00736FBA"/>
    <w:rsid w:val="0073735C"/>
    <w:rsid w:val="0073752A"/>
    <w:rsid w:val="0074090B"/>
    <w:rsid w:val="00740AC7"/>
    <w:rsid w:val="0074363B"/>
    <w:rsid w:val="007447A3"/>
    <w:rsid w:val="007465AD"/>
    <w:rsid w:val="007477E1"/>
    <w:rsid w:val="0075105C"/>
    <w:rsid w:val="0075242C"/>
    <w:rsid w:val="0075260C"/>
    <w:rsid w:val="00755753"/>
    <w:rsid w:val="007566D9"/>
    <w:rsid w:val="00756827"/>
    <w:rsid w:val="0076378E"/>
    <w:rsid w:val="00770CA3"/>
    <w:rsid w:val="007710B0"/>
    <w:rsid w:val="00771458"/>
    <w:rsid w:val="00771DA9"/>
    <w:rsid w:val="00772836"/>
    <w:rsid w:val="00775AAD"/>
    <w:rsid w:val="00781628"/>
    <w:rsid w:val="00781702"/>
    <w:rsid w:val="007817C7"/>
    <w:rsid w:val="00783588"/>
    <w:rsid w:val="00784787"/>
    <w:rsid w:val="007864B9"/>
    <w:rsid w:val="007874FF"/>
    <w:rsid w:val="007933A5"/>
    <w:rsid w:val="00796E07"/>
    <w:rsid w:val="00797DD2"/>
    <w:rsid w:val="007A26A4"/>
    <w:rsid w:val="007A3AAD"/>
    <w:rsid w:val="007A6180"/>
    <w:rsid w:val="007A642C"/>
    <w:rsid w:val="007A755C"/>
    <w:rsid w:val="007B0513"/>
    <w:rsid w:val="007B313F"/>
    <w:rsid w:val="007B419A"/>
    <w:rsid w:val="007B60D0"/>
    <w:rsid w:val="007C4000"/>
    <w:rsid w:val="007C4508"/>
    <w:rsid w:val="007C5575"/>
    <w:rsid w:val="007C5964"/>
    <w:rsid w:val="007C65AE"/>
    <w:rsid w:val="007C6698"/>
    <w:rsid w:val="007C75E3"/>
    <w:rsid w:val="007C797D"/>
    <w:rsid w:val="007C7E47"/>
    <w:rsid w:val="007D07D6"/>
    <w:rsid w:val="007D0988"/>
    <w:rsid w:val="007D09F6"/>
    <w:rsid w:val="007D2A54"/>
    <w:rsid w:val="007D51D9"/>
    <w:rsid w:val="007D5C52"/>
    <w:rsid w:val="007D5D0F"/>
    <w:rsid w:val="007D6955"/>
    <w:rsid w:val="007E1315"/>
    <w:rsid w:val="007E1F8A"/>
    <w:rsid w:val="007F0815"/>
    <w:rsid w:val="007F10E1"/>
    <w:rsid w:val="007F197C"/>
    <w:rsid w:val="007F51B5"/>
    <w:rsid w:val="007F5262"/>
    <w:rsid w:val="007F669C"/>
    <w:rsid w:val="007F7D3B"/>
    <w:rsid w:val="00800839"/>
    <w:rsid w:val="00800EB7"/>
    <w:rsid w:val="00801383"/>
    <w:rsid w:val="008015E7"/>
    <w:rsid w:val="00803DA9"/>
    <w:rsid w:val="00805CE6"/>
    <w:rsid w:val="00812859"/>
    <w:rsid w:val="00814856"/>
    <w:rsid w:val="00815F23"/>
    <w:rsid w:val="008161F0"/>
    <w:rsid w:val="008161FA"/>
    <w:rsid w:val="008203F5"/>
    <w:rsid w:val="00821D8E"/>
    <w:rsid w:val="00822D24"/>
    <w:rsid w:val="00823B7D"/>
    <w:rsid w:val="00826D5A"/>
    <w:rsid w:val="00826EB9"/>
    <w:rsid w:val="008273E4"/>
    <w:rsid w:val="00827AD2"/>
    <w:rsid w:val="00830CF2"/>
    <w:rsid w:val="00835728"/>
    <w:rsid w:val="008403C3"/>
    <w:rsid w:val="00840ED1"/>
    <w:rsid w:val="0084299E"/>
    <w:rsid w:val="00844459"/>
    <w:rsid w:val="0084593E"/>
    <w:rsid w:val="0084669B"/>
    <w:rsid w:val="008505F0"/>
    <w:rsid w:val="00852977"/>
    <w:rsid w:val="0085551F"/>
    <w:rsid w:val="0085697A"/>
    <w:rsid w:val="00856CE1"/>
    <w:rsid w:val="00856CFB"/>
    <w:rsid w:val="00862301"/>
    <w:rsid w:val="00862AAA"/>
    <w:rsid w:val="00862F0E"/>
    <w:rsid w:val="008633A7"/>
    <w:rsid w:val="00863F00"/>
    <w:rsid w:val="00864B78"/>
    <w:rsid w:val="00866963"/>
    <w:rsid w:val="00867421"/>
    <w:rsid w:val="00867519"/>
    <w:rsid w:val="008713CE"/>
    <w:rsid w:val="0087242B"/>
    <w:rsid w:val="00872902"/>
    <w:rsid w:val="00872C8F"/>
    <w:rsid w:val="00873A95"/>
    <w:rsid w:val="00874569"/>
    <w:rsid w:val="008745C2"/>
    <w:rsid w:val="00875509"/>
    <w:rsid w:val="0088018C"/>
    <w:rsid w:val="008808C6"/>
    <w:rsid w:val="0088225A"/>
    <w:rsid w:val="00882B3B"/>
    <w:rsid w:val="00884CC8"/>
    <w:rsid w:val="00885A2A"/>
    <w:rsid w:val="00885CA4"/>
    <w:rsid w:val="0088614A"/>
    <w:rsid w:val="008861E2"/>
    <w:rsid w:val="00890B17"/>
    <w:rsid w:val="00892586"/>
    <w:rsid w:val="008956CF"/>
    <w:rsid w:val="00897CD5"/>
    <w:rsid w:val="008A1497"/>
    <w:rsid w:val="008A40D4"/>
    <w:rsid w:val="008A4555"/>
    <w:rsid w:val="008B2E8C"/>
    <w:rsid w:val="008B34E5"/>
    <w:rsid w:val="008B46C9"/>
    <w:rsid w:val="008B48F7"/>
    <w:rsid w:val="008B50CD"/>
    <w:rsid w:val="008B7D38"/>
    <w:rsid w:val="008C0C94"/>
    <w:rsid w:val="008C4A01"/>
    <w:rsid w:val="008C6896"/>
    <w:rsid w:val="008C6DC8"/>
    <w:rsid w:val="008D06D4"/>
    <w:rsid w:val="008D09C1"/>
    <w:rsid w:val="008D1202"/>
    <w:rsid w:val="008D1D89"/>
    <w:rsid w:val="008D651B"/>
    <w:rsid w:val="008E1C14"/>
    <w:rsid w:val="008E3155"/>
    <w:rsid w:val="008E4481"/>
    <w:rsid w:val="008E45CF"/>
    <w:rsid w:val="008E501B"/>
    <w:rsid w:val="008E653C"/>
    <w:rsid w:val="008E68CC"/>
    <w:rsid w:val="008F1468"/>
    <w:rsid w:val="008F4109"/>
    <w:rsid w:val="009001E0"/>
    <w:rsid w:val="009005FD"/>
    <w:rsid w:val="00903322"/>
    <w:rsid w:val="00904E66"/>
    <w:rsid w:val="00905F3B"/>
    <w:rsid w:val="00906B2D"/>
    <w:rsid w:val="00906D9D"/>
    <w:rsid w:val="00910F1E"/>
    <w:rsid w:val="009125D4"/>
    <w:rsid w:val="00913AB1"/>
    <w:rsid w:val="009140D6"/>
    <w:rsid w:val="00915041"/>
    <w:rsid w:val="00915B09"/>
    <w:rsid w:val="00915D51"/>
    <w:rsid w:val="00920A2C"/>
    <w:rsid w:val="00925E67"/>
    <w:rsid w:val="00930314"/>
    <w:rsid w:val="00932347"/>
    <w:rsid w:val="00932A6E"/>
    <w:rsid w:val="0093349D"/>
    <w:rsid w:val="00933CA7"/>
    <w:rsid w:val="00936847"/>
    <w:rsid w:val="00937B1C"/>
    <w:rsid w:val="00937F11"/>
    <w:rsid w:val="00941977"/>
    <w:rsid w:val="0094353D"/>
    <w:rsid w:val="00944487"/>
    <w:rsid w:val="00945C13"/>
    <w:rsid w:val="00946A4E"/>
    <w:rsid w:val="00947C4A"/>
    <w:rsid w:val="009515FA"/>
    <w:rsid w:val="0095187E"/>
    <w:rsid w:val="00954542"/>
    <w:rsid w:val="00955103"/>
    <w:rsid w:val="00955818"/>
    <w:rsid w:val="00956A02"/>
    <w:rsid w:val="00956D0C"/>
    <w:rsid w:val="009645CC"/>
    <w:rsid w:val="00966A90"/>
    <w:rsid w:val="00967D78"/>
    <w:rsid w:val="00972CC3"/>
    <w:rsid w:val="00973963"/>
    <w:rsid w:val="00974CE1"/>
    <w:rsid w:val="009829D7"/>
    <w:rsid w:val="00982A99"/>
    <w:rsid w:val="00983FB6"/>
    <w:rsid w:val="009852A1"/>
    <w:rsid w:val="0098588B"/>
    <w:rsid w:val="00993399"/>
    <w:rsid w:val="00993758"/>
    <w:rsid w:val="00993F7E"/>
    <w:rsid w:val="00995765"/>
    <w:rsid w:val="00997B77"/>
    <w:rsid w:val="00997C5A"/>
    <w:rsid w:val="009A4B29"/>
    <w:rsid w:val="009A4E91"/>
    <w:rsid w:val="009A639C"/>
    <w:rsid w:val="009A6640"/>
    <w:rsid w:val="009A6FDF"/>
    <w:rsid w:val="009B21C7"/>
    <w:rsid w:val="009B26E4"/>
    <w:rsid w:val="009B435D"/>
    <w:rsid w:val="009B5A53"/>
    <w:rsid w:val="009B6024"/>
    <w:rsid w:val="009C264E"/>
    <w:rsid w:val="009C4E0F"/>
    <w:rsid w:val="009C5232"/>
    <w:rsid w:val="009C60D6"/>
    <w:rsid w:val="009C683E"/>
    <w:rsid w:val="009C6A7F"/>
    <w:rsid w:val="009D0C0F"/>
    <w:rsid w:val="009D0F6F"/>
    <w:rsid w:val="009D1D97"/>
    <w:rsid w:val="009D2A27"/>
    <w:rsid w:val="009D38A5"/>
    <w:rsid w:val="009D3F6D"/>
    <w:rsid w:val="009D3F7A"/>
    <w:rsid w:val="009D4BC4"/>
    <w:rsid w:val="009D5D65"/>
    <w:rsid w:val="009D6E6D"/>
    <w:rsid w:val="009D7361"/>
    <w:rsid w:val="009D7385"/>
    <w:rsid w:val="009E135A"/>
    <w:rsid w:val="009E33B8"/>
    <w:rsid w:val="009E478E"/>
    <w:rsid w:val="009F129E"/>
    <w:rsid w:val="009F691E"/>
    <w:rsid w:val="00A00C1A"/>
    <w:rsid w:val="00A027E1"/>
    <w:rsid w:val="00A02CA0"/>
    <w:rsid w:val="00A037D3"/>
    <w:rsid w:val="00A059CC"/>
    <w:rsid w:val="00A0659E"/>
    <w:rsid w:val="00A1278A"/>
    <w:rsid w:val="00A1439C"/>
    <w:rsid w:val="00A15067"/>
    <w:rsid w:val="00A15185"/>
    <w:rsid w:val="00A16261"/>
    <w:rsid w:val="00A16A01"/>
    <w:rsid w:val="00A202E8"/>
    <w:rsid w:val="00A23668"/>
    <w:rsid w:val="00A23B34"/>
    <w:rsid w:val="00A274D9"/>
    <w:rsid w:val="00A27B52"/>
    <w:rsid w:val="00A30222"/>
    <w:rsid w:val="00A30C0F"/>
    <w:rsid w:val="00A31122"/>
    <w:rsid w:val="00A3167E"/>
    <w:rsid w:val="00A31A96"/>
    <w:rsid w:val="00A33A39"/>
    <w:rsid w:val="00A3501F"/>
    <w:rsid w:val="00A35D7A"/>
    <w:rsid w:val="00A40C1C"/>
    <w:rsid w:val="00A44148"/>
    <w:rsid w:val="00A4422A"/>
    <w:rsid w:val="00A475E9"/>
    <w:rsid w:val="00A47C36"/>
    <w:rsid w:val="00A51002"/>
    <w:rsid w:val="00A534A6"/>
    <w:rsid w:val="00A56375"/>
    <w:rsid w:val="00A56ACC"/>
    <w:rsid w:val="00A5710E"/>
    <w:rsid w:val="00A60784"/>
    <w:rsid w:val="00A629EC"/>
    <w:rsid w:val="00A63A56"/>
    <w:rsid w:val="00A64746"/>
    <w:rsid w:val="00A70B4F"/>
    <w:rsid w:val="00A70D9F"/>
    <w:rsid w:val="00A71A81"/>
    <w:rsid w:val="00A72CB0"/>
    <w:rsid w:val="00A72DD3"/>
    <w:rsid w:val="00A7354E"/>
    <w:rsid w:val="00A74D76"/>
    <w:rsid w:val="00A755B1"/>
    <w:rsid w:val="00A75A28"/>
    <w:rsid w:val="00A75EDB"/>
    <w:rsid w:val="00A820B7"/>
    <w:rsid w:val="00A82EE3"/>
    <w:rsid w:val="00A83790"/>
    <w:rsid w:val="00A8475A"/>
    <w:rsid w:val="00A84BAC"/>
    <w:rsid w:val="00A85B32"/>
    <w:rsid w:val="00A87E38"/>
    <w:rsid w:val="00A9091F"/>
    <w:rsid w:val="00A91D47"/>
    <w:rsid w:val="00A93736"/>
    <w:rsid w:val="00A94360"/>
    <w:rsid w:val="00A954E0"/>
    <w:rsid w:val="00A960FC"/>
    <w:rsid w:val="00A96F0D"/>
    <w:rsid w:val="00A96F79"/>
    <w:rsid w:val="00AA126B"/>
    <w:rsid w:val="00AA15B4"/>
    <w:rsid w:val="00AA4136"/>
    <w:rsid w:val="00AA5AB2"/>
    <w:rsid w:val="00AA6047"/>
    <w:rsid w:val="00AA71D1"/>
    <w:rsid w:val="00AA7A3A"/>
    <w:rsid w:val="00AA7B16"/>
    <w:rsid w:val="00AA7B2A"/>
    <w:rsid w:val="00AB3E0E"/>
    <w:rsid w:val="00AB416F"/>
    <w:rsid w:val="00AB4DFC"/>
    <w:rsid w:val="00AB5385"/>
    <w:rsid w:val="00AB57C1"/>
    <w:rsid w:val="00AC2BC9"/>
    <w:rsid w:val="00AC2BDD"/>
    <w:rsid w:val="00AC30AF"/>
    <w:rsid w:val="00AC516E"/>
    <w:rsid w:val="00AC6EA3"/>
    <w:rsid w:val="00AD104A"/>
    <w:rsid w:val="00AD11FF"/>
    <w:rsid w:val="00AD2424"/>
    <w:rsid w:val="00AD24A3"/>
    <w:rsid w:val="00AD4A7A"/>
    <w:rsid w:val="00AD4B27"/>
    <w:rsid w:val="00AD6C11"/>
    <w:rsid w:val="00AD7650"/>
    <w:rsid w:val="00AD7A7C"/>
    <w:rsid w:val="00AE3411"/>
    <w:rsid w:val="00AE3456"/>
    <w:rsid w:val="00AE3FBE"/>
    <w:rsid w:val="00AE5793"/>
    <w:rsid w:val="00AF1490"/>
    <w:rsid w:val="00AF2F11"/>
    <w:rsid w:val="00AF3029"/>
    <w:rsid w:val="00AF31AD"/>
    <w:rsid w:val="00AF3977"/>
    <w:rsid w:val="00AF3A70"/>
    <w:rsid w:val="00AF3A79"/>
    <w:rsid w:val="00AF3FDF"/>
    <w:rsid w:val="00AF6052"/>
    <w:rsid w:val="00B001C9"/>
    <w:rsid w:val="00B01596"/>
    <w:rsid w:val="00B016DA"/>
    <w:rsid w:val="00B01A74"/>
    <w:rsid w:val="00B040E0"/>
    <w:rsid w:val="00B054FF"/>
    <w:rsid w:val="00B0602C"/>
    <w:rsid w:val="00B07577"/>
    <w:rsid w:val="00B11682"/>
    <w:rsid w:val="00B11888"/>
    <w:rsid w:val="00B1224F"/>
    <w:rsid w:val="00B1238D"/>
    <w:rsid w:val="00B12EBA"/>
    <w:rsid w:val="00B144CA"/>
    <w:rsid w:val="00B16889"/>
    <w:rsid w:val="00B2107C"/>
    <w:rsid w:val="00B21A0B"/>
    <w:rsid w:val="00B23C33"/>
    <w:rsid w:val="00B246A7"/>
    <w:rsid w:val="00B267FC"/>
    <w:rsid w:val="00B309B9"/>
    <w:rsid w:val="00B33F82"/>
    <w:rsid w:val="00B34946"/>
    <w:rsid w:val="00B355DE"/>
    <w:rsid w:val="00B35B92"/>
    <w:rsid w:val="00B36802"/>
    <w:rsid w:val="00B36C99"/>
    <w:rsid w:val="00B479BA"/>
    <w:rsid w:val="00B508CD"/>
    <w:rsid w:val="00B51E65"/>
    <w:rsid w:val="00B524C0"/>
    <w:rsid w:val="00B54C71"/>
    <w:rsid w:val="00B55494"/>
    <w:rsid w:val="00B55796"/>
    <w:rsid w:val="00B572C4"/>
    <w:rsid w:val="00B57673"/>
    <w:rsid w:val="00B6051C"/>
    <w:rsid w:val="00B60D40"/>
    <w:rsid w:val="00B646A2"/>
    <w:rsid w:val="00B6502E"/>
    <w:rsid w:val="00B66153"/>
    <w:rsid w:val="00B7035A"/>
    <w:rsid w:val="00B709E1"/>
    <w:rsid w:val="00B753DF"/>
    <w:rsid w:val="00B76AF4"/>
    <w:rsid w:val="00B772C5"/>
    <w:rsid w:val="00B80A8F"/>
    <w:rsid w:val="00B83478"/>
    <w:rsid w:val="00B83A2C"/>
    <w:rsid w:val="00B93795"/>
    <w:rsid w:val="00B96340"/>
    <w:rsid w:val="00BA1543"/>
    <w:rsid w:val="00BA2FD9"/>
    <w:rsid w:val="00BA43A6"/>
    <w:rsid w:val="00BA4AC9"/>
    <w:rsid w:val="00BA563C"/>
    <w:rsid w:val="00BB1012"/>
    <w:rsid w:val="00BB3317"/>
    <w:rsid w:val="00BB4A43"/>
    <w:rsid w:val="00BB50C5"/>
    <w:rsid w:val="00BB5943"/>
    <w:rsid w:val="00BB74CC"/>
    <w:rsid w:val="00BB75CB"/>
    <w:rsid w:val="00BC1019"/>
    <w:rsid w:val="00BC13A0"/>
    <w:rsid w:val="00BC34B1"/>
    <w:rsid w:val="00BC3CA1"/>
    <w:rsid w:val="00BC3DDB"/>
    <w:rsid w:val="00BC5C60"/>
    <w:rsid w:val="00BC7C78"/>
    <w:rsid w:val="00BD21F6"/>
    <w:rsid w:val="00BD5848"/>
    <w:rsid w:val="00BD729F"/>
    <w:rsid w:val="00BE11A4"/>
    <w:rsid w:val="00BE21AE"/>
    <w:rsid w:val="00BE7BD5"/>
    <w:rsid w:val="00BE7C3D"/>
    <w:rsid w:val="00BF2E87"/>
    <w:rsid w:val="00BF321A"/>
    <w:rsid w:val="00BF3513"/>
    <w:rsid w:val="00BF5D2B"/>
    <w:rsid w:val="00BF63B6"/>
    <w:rsid w:val="00C01362"/>
    <w:rsid w:val="00C01BD1"/>
    <w:rsid w:val="00C02CD6"/>
    <w:rsid w:val="00C02E45"/>
    <w:rsid w:val="00C0486D"/>
    <w:rsid w:val="00C05349"/>
    <w:rsid w:val="00C06D65"/>
    <w:rsid w:val="00C079DB"/>
    <w:rsid w:val="00C13F57"/>
    <w:rsid w:val="00C144E1"/>
    <w:rsid w:val="00C1510C"/>
    <w:rsid w:val="00C16167"/>
    <w:rsid w:val="00C23BE8"/>
    <w:rsid w:val="00C25611"/>
    <w:rsid w:val="00C347D8"/>
    <w:rsid w:val="00C366C8"/>
    <w:rsid w:val="00C411C6"/>
    <w:rsid w:val="00C4385F"/>
    <w:rsid w:val="00C471DE"/>
    <w:rsid w:val="00C502B0"/>
    <w:rsid w:val="00C509F9"/>
    <w:rsid w:val="00C53738"/>
    <w:rsid w:val="00C53C44"/>
    <w:rsid w:val="00C56630"/>
    <w:rsid w:val="00C56B90"/>
    <w:rsid w:val="00C624FF"/>
    <w:rsid w:val="00C6332A"/>
    <w:rsid w:val="00C66BAD"/>
    <w:rsid w:val="00C66DE0"/>
    <w:rsid w:val="00C7032C"/>
    <w:rsid w:val="00C70341"/>
    <w:rsid w:val="00C70F05"/>
    <w:rsid w:val="00C715B7"/>
    <w:rsid w:val="00C73239"/>
    <w:rsid w:val="00C73BC9"/>
    <w:rsid w:val="00C7788F"/>
    <w:rsid w:val="00C80EB9"/>
    <w:rsid w:val="00C83723"/>
    <w:rsid w:val="00C86965"/>
    <w:rsid w:val="00C90958"/>
    <w:rsid w:val="00C90E6E"/>
    <w:rsid w:val="00C92CED"/>
    <w:rsid w:val="00C94B92"/>
    <w:rsid w:val="00C96BA9"/>
    <w:rsid w:val="00C96F9C"/>
    <w:rsid w:val="00CA09DB"/>
    <w:rsid w:val="00CA1493"/>
    <w:rsid w:val="00CA488A"/>
    <w:rsid w:val="00CA4C9F"/>
    <w:rsid w:val="00CA5C00"/>
    <w:rsid w:val="00CA5F90"/>
    <w:rsid w:val="00CA618C"/>
    <w:rsid w:val="00CA785A"/>
    <w:rsid w:val="00CC10C5"/>
    <w:rsid w:val="00CC152D"/>
    <w:rsid w:val="00CC17C2"/>
    <w:rsid w:val="00CC7BA5"/>
    <w:rsid w:val="00CD11C8"/>
    <w:rsid w:val="00CD221C"/>
    <w:rsid w:val="00CD28D8"/>
    <w:rsid w:val="00CD2C95"/>
    <w:rsid w:val="00CD307B"/>
    <w:rsid w:val="00CD3CD7"/>
    <w:rsid w:val="00CD4662"/>
    <w:rsid w:val="00CD5185"/>
    <w:rsid w:val="00CD59AC"/>
    <w:rsid w:val="00CD7912"/>
    <w:rsid w:val="00CE38BE"/>
    <w:rsid w:val="00CE3DA7"/>
    <w:rsid w:val="00CE5072"/>
    <w:rsid w:val="00CE5488"/>
    <w:rsid w:val="00CE7BDC"/>
    <w:rsid w:val="00CF24DB"/>
    <w:rsid w:val="00CF3803"/>
    <w:rsid w:val="00CF41BE"/>
    <w:rsid w:val="00CF4BAA"/>
    <w:rsid w:val="00CF67B1"/>
    <w:rsid w:val="00D00363"/>
    <w:rsid w:val="00D0090F"/>
    <w:rsid w:val="00D02D1F"/>
    <w:rsid w:val="00D02D6C"/>
    <w:rsid w:val="00D031F5"/>
    <w:rsid w:val="00D032E4"/>
    <w:rsid w:val="00D034A8"/>
    <w:rsid w:val="00D03891"/>
    <w:rsid w:val="00D05265"/>
    <w:rsid w:val="00D07862"/>
    <w:rsid w:val="00D11789"/>
    <w:rsid w:val="00D13078"/>
    <w:rsid w:val="00D151CA"/>
    <w:rsid w:val="00D201DA"/>
    <w:rsid w:val="00D23010"/>
    <w:rsid w:val="00D25DCB"/>
    <w:rsid w:val="00D26259"/>
    <w:rsid w:val="00D277DB"/>
    <w:rsid w:val="00D316E5"/>
    <w:rsid w:val="00D318AC"/>
    <w:rsid w:val="00D35A37"/>
    <w:rsid w:val="00D361B7"/>
    <w:rsid w:val="00D40E05"/>
    <w:rsid w:val="00D4174B"/>
    <w:rsid w:val="00D4502B"/>
    <w:rsid w:val="00D4583A"/>
    <w:rsid w:val="00D46C97"/>
    <w:rsid w:val="00D50487"/>
    <w:rsid w:val="00D50D9C"/>
    <w:rsid w:val="00D51789"/>
    <w:rsid w:val="00D53640"/>
    <w:rsid w:val="00D55E33"/>
    <w:rsid w:val="00D55E8C"/>
    <w:rsid w:val="00D568B6"/>
    <w:rsid w:val="00D57593"/>
    <w:rsid w:val="00D653B9"/>
    <w:rsid w:val="00D66565"/>
    <w:rsid w:val="00D66919"/>
    <w:rsid w:val="00D70A66"/>
    <w:rsid w:val="00D72CA9"/>
    <w:rsid w:val="00D7333C"/>
    <w:rsid w:val="00D7580E"/>
    <w:rsid w:val="00D76947"/>
    <w:rsid w:val="00D81AC9"/>
    <w:rsid w:val="00D822A2"/>
    <w:rsid w:val="00D831DE"/>
    <w:rsid w:val="00D862EE"/>
    <w:rsid w:val="00D86749"/>
    <w:rsid w:val="00D8680F"/>
    <w:rsid w:val="00D86F23"/>
    <w:rsid w:val="00D91B00"/>
    <w:rsid w:val="00D938E7"/>
    <w:rsid w:val="00D972CC"/>
    <w:rsid w:val="00DA02E6"/>
    <w:rsid w:val="00DA0E5E"/>
    <w:rsid w:val="00DA1128"/>
    <w:rsid w:val="00DA2159"/>
    <w:rsid w:val="00DA477B"/>
    <w:rsid w:val="00DA4967"/>
    <w:rsid w:val="00DA49FC"/>
    <w:rsid w:val="00DA4D40"/>
    <w:rsid w:val="00DA53CF"/>
    <w:rsid w:val="00DA593E"/>
    <w:rsid w:val="00DA6832"/>
    <w:rsid w:val="00DB319E"/>
    <w:rsid w:val="00DB4A71"/>
    <w:rsid w:val="00DB5BC1"/>
    <w:rsid w:val="00DC2390"/>
    <w:rsid w:val="00DC361A"/>
    <w:rsid w:val="00DC625E"/>
    <w:rsid w:val="00DC65A8"/>
    <w:rsid w:val="00DD5D96"/>
    <w:rsid w:val="00DD6718"/>
    <w:rsid w:val="00DE059C"/>
    <w:rsid w:val="00DE1958"/>
    <w:rsid w:val="00DE2370"/>
    <w:rsid w:val="00DE2FB3"/>
    <w:rsid w:val="00DE4EEE"/>
    <w:rsid w:val="00DE7014"/>
    <w:rsid w:val="00DF1A69"/>
    <w:rsid w:val="00DF3513"/>
    <w:rsid w:val="00DF3706"/>
    <w:rsid w:val="00DF58CD"/>
    <w:rsid w:val="00DF5C85"/>
    <w:rsid w:val="00DF694D"/>
    <w:rsid w:val="00DF7DCE"/>
    <w:rsid w:val="00E01E9C"/>
    <w:rsid w:val="00E1252C"/>
    <w:rsid w:val="00E126FA"/>
    <w:rsid w:val="00E13163"/>
    <w:rsid w:val="00E13737"/>
    <w:rsid w:val="00E151D4"/>
    <w:rsid w:val="00E1550E"/>
    <w:rsid w:val="00E174B2"/>
    <w:rsid w:val="00E20828"/>
    <w:rsid w:val="00E21AFF"/>
    <w:rsid w:val="00E22D35"/>
    <w:rsid w:val="00E2356D"/>
    <w:rsid w:val="00E24017"/>
    <w:rsid w:val="00E246C0"/>
    <w:rsid w:val="00E25540"/>
    <w:rsid w:val="00E258B1"/>
    <w:rsid w:val="00E26016"/>
    <w:rsid w:val="00E26D11"/>
    <w:rsid w:val="00E27011"/>
    <w:rsid w:val="00E30350"/>
    <w:rsid w:val="00E30449"/>
    <w:rsid w:val="00E30609"/>
    <w:rsid w:val="00E31247"/>
    <w:rsid w:val="00E3160D"/>
    <w:rsid w:val="00E34230"/>
    <w:rsid w:val="00E34AF0"/>
    <w:rsid w:val="00E41B9C"/>
    <w:rsid w:val="00E43ACA"/>
    <w:rsid w:val="00E530E5"/>
    <w:rsid w:val="00E5498C"/>
    <w:rsid w:val="00E57066"/>
    <w:rsid w:val="00E57B6D"/>
    <w:rsid w:val="00E60DAF"/>
    <w:rsid w:val="00E62356"/>
    <w:rsid w:val="00E65746"/>
    <w:rsid w:val="00E65D09"/>
    <w:rsid w:val="00E65E76"/>
    <w:rsid w:val="00E66CF8"/>
    <w:rsid w:val="00E70CB4"/>
    <w:rsid w:val="00E70E0E"/>
    <w:rsid w:val="00E70ECD"/>
    <w:rsid w:val="00E718BA"/>
    <w:rsid w:val="00E750EB"/>
    <w:rsid w:val="00E77067"/>
    <w:rsid w:val="00E77EF4"/>
    <w:rsid w:val="00E80C47"/>
    <w:rsid w:val="00E811EC"/>
    <w:rsid w:val="00E825D5"/>
    <w:rsid w:val="00E8734F"/>
    <w:rsid w:val="00E9052B"/>
    <w:rsid w:val="00E91DCA"/>
    <w:rsid w:val="00E9393A"/>
    <w:rsid w:val="00E939E2"/>
    <w:rsid w:val="00E959DB"/>
    <w:rsid w:val="00EA1E48"/>
    <w:rsid w:val="00EA30BD"/>
    <w:rsid w:val="00EA62AD"/>
    <w:rsid w:val="00EB1B8A"/>
    <w:rsid w:val="00EB3111"/>
    <w:rsid w:val="00EB3657"/>
    <w:rsid w:val="00EB56BA"/>
    <w:rsid w:val="00EB5927"/>
    <w:rsid w:val="00EB637B"/>
    <w:rsid w:val="00EB6944"/>
    <w:rsid w:val="00EC22D9"/>
    <w:rsid w:val="00EC62DD"/>
    <w:rsid w:val="00EC664A"/>
    <w:rsid w:val="00ED1BB2"/>
    <w:rsid w:val="00ED2E3B"/>
    <w:rsid w:val="00ED5ADA"/>
    <w:rsid w:val="00ED5B47"/>
    <w:rsid w:val="00ED777E"/>
    <w:rsid w:val="00ED7E41"/>
    <w:rsid w:val="00EE06C6"/>
    <w:rsid w:val="00EE091D"/>
    <w:rsid w:val="00EE33B8"/>
    <w:rsid w:val="00EE4A98"/>
    <w:rsid w:val="00EE4F84"/>
    <w:rsid w:val="00EE570D"/>
    <w:rsid w:val="00EE7289"/>
    <w:rsid w:val="00EE7457"/>
    <w:rsid w:val="00EE7DB6"/>
    <w:rsid w:val="00EF0F4B"/>
    <w:rsid w:val="00EF4D33"/>
    <w:rsid w:val="00EF4EC2"/>
    <w:rsid w:val="00EF516E"/>
    <w:rsid w:val="00EF5742"/>
    <w:rsid w:val="00EF61D6"/>
    <w:rsid w:val="00EF7A08"/>
    <w:rsid w:val="00F0090C"/>
    <w:rsid w:val="00F017A5"/>
    <w:rsid w:val="00F01E51"/>
    <w:rsid w:val="00F0320D"/>
    <w:rsid w:val="00F0366C"/>
    <w:rsid w:val="00F03C5C"/>
    <w:rsid w:val="00F048F8"/>
    <w:rsid w:val="00F04B2E"/>
    <w:rsid w:val="00F06A04"/>
    <w:rsid w:val="00F10E6F"/>
    <w:rsid w:val="00F11C62"/>
    <w:rsid w:val="00F11D05"/>
    <w:rsid w:val="00F11DE4"/>
    <w:rsid w:val="00F1227D"/>
    <w:rsid w:val="00F13478"/>
    <w:rsid w:val="00F14234"/>
    <w:rsid w:val="00F147A2"/>
    <w:rsid w:val="00F157D6"/>
    <w:rsid w:val="00F16091"/>
    <w:rsid w:val="00F16A10"/>
    <w:rsid w:val="00F16FC3"/>
    <w:rsid w:val="00F214FC"/>
    <w:rsid w:val="00F23475"/>
    <w:rsid w:val="00F2354A"/>
    <w:rsid w:val="00F26732"/>
    <w:rsid w:val="00F27395"/>
    <w:rsid w:val="00F276A0"/>
    <w:rsid w:val="00F30297"/>
    <w:rsid w:val="00F36143"/>
    <w:rsid w:val="00F43247"/>
    <w:rsid w:val="00F449CB"/>
    <w:rsid w:val="00F451D2"/>
    <w:rsid w:val="00F4544F"/>
    <w:rsid w:val="00F46FAD"/>
    <w:rsid w:val="00F52769"/>
    <w:rsid w:val="00F54ACD"/>
    <w:rsid w:val="00F57A71"/>
    <w:rsid w:val="00F6024F"/>
    <w:rsid w:val="00F60DDD"/>
    <w:rsid w:val="00F618C3"/>
    <w:rsid w:val="00F644BD"/>
    <w:rsid w:val="00F650B4"/>
    <w:rsid w:val="00F665D4"/>
    <w:rsid w:val="00F67F73"/>
    <w:rsid w:val="00F700FC"/>
    <w:rsid w:val="00F70485"/>
    <w:rsid w:val="00F70CC9"/>
    <w:rsid w:val="00F7287A"/>
    <w:rsid w:val="00F75301"/>
    <w:rsid w:val="00F75A88"/>
    <w:rsid w:val="00F80EC9"/>
    <w:rsid w:val="00F91B33"/>
    <w:rsid w:val="00F9207E"/>
    <w:rsid w:val="00F925DC"/>
    <w:rsid w:val="00F940D3"/>
    <w:rsid w:val="00F943B5"/>
    <w:rsid w:val="00F950AC"/>
    <w:rsid w:val="00F954D1"/>
    <w:rsid w:val="00F955AA"/>
    <w:rsid w:val="00F96791"/>
    <w:rsid w:val="00FA07D0"/>
    <w:rsid w:val="00FA0F03"/>
    <w:rsid w:val="00FA3140"/>
    <w:rsid w:val="00FA3DF4"/>
    <w:rsid w:val="00FA4E7E"/>
    <w:rsid w:val="00FA76C7"/>
    <w:rsid w:val="00FB0A19"/>
    <w:rsid w:val="00FB459F"/>
    <w:rsid w:val="00FB66CB"/>
    <w:rsid w:val="00FC007C"/>
    <w:rsid w:val="00FC063C"/>
    <w:rsid w:val="00FC136E"/>
    <w:rsid w:val="00FC1CAD"/>
    <w:rsid w:val="00FC2E07"/>
    <w:rsid w:val="00FC3720"/>
    <w:rsid w:val="00FC3CFD"/>
    <w:rsid w:val="00FC59C9"/>
    <w:rsid w:val="00FC647F"/>
    <w:rsid w:val="00FC7B88"/>
    <w:rsid w:val="00FD06BC"/>
    <w:rsid w:val="00FD0BC2"/>
    <w:rsid w:val="00FD0D14"/>
    <w:rsid w:val="00FD0EE5"/>
    <w:rsid w:val="00FD26AC"/>
    <w:rsid w:val="00FD3842"/>
    <w:rsid w:val="00FD50A6"/>
    <w:rsid w:val="00FD7E26"/>
    <w:rsid w:val="00FE069E"/>
    <w:rsid w:val="00FE0B31"/>
    <w:rsid w:val="00FE13EE"/>
    <w:rsid w:val="00FE3A6A"/>
    <w:rsid w:val="00FE5C1D"/>
    <w:rsid w:val="00FE645F"/>
    <w:rsid w:val="00FE7F29"/>
    <w:rsid w:val="00FF106E"/>
    <w:rsid w:val="00FF2331"/>
    <w:rsid w:val="00FF7D06"/>
    <w:rsid w:val="00FF7D9E"/>
    <w:rsid w:val="00FF7DE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4F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167F"/>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845FF"/>
    <w:pPr>
      <w:spacing w:after="200" w:line="276" w:lineRule="auto"/>
      <w:ind w:left="720"/>
      <w:contextualSpacing/>
    </w:pPr>
    <w:rPr>
      <w:rFonts w:asciiTheme="minorHAnsi" w:eastAsiaTheme="minorHAnsi" w:hAnsiTheme="minorHAnsi" w:cstheme="minorBidi"/>
      <w:sz w:val="22"/>
      <w:szCs w:val="22"/>
      <w:lang w:eastAsia="en-US"/>
    </w:rPr>
  </w:style>
  <w:style w:type="paragraph" w:styleId="Fuzeile">
    <w:name w:val="footer"/>
    <w:basedOn w:val="Standard"/>
    <w:link w:val="FuzeileZchn"/>
    <w:uiPriority w:val="99"/>
    <w:unhideWhenUsed/>
    <w:rsid w:val="00E34230"/>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E34230"/>
  </w:style>
  <w:style w:type="character" w:styleId="Seitenzahl">
    <w:name w:val="page number"/>
    <w:basedOn w:val="Absatz-Standardschriftart"/>
    <w:uiPriority w:val="99"/>
    <w:semiHidden/>
    <w:unhideWhenUsed/>
    <w:rsid w:val="00E34230"/>
  </w:style>
  <w:style w:type="paragraph" w:styleId="Funotentext">
    <w:name w:val="footnote text"/>
    <w:basedOn w:val="Standard"/>
    <w:link w:val="FunotentextZchn"/>
    <w:uiPriority w:val="99"/>
    <w:unhideWhenUsed/>
    <w:rsid w:val="00ED1BB2"/>
    <w:rPr>
      <w:rFonts w:asciiTheme="minorHAnsi" w:eastAsiaTheme="minorHAnsi" w:hAnsiTheme="minorHAnsi" w:cstheme="minorBidi"/>
      <w:lang w:eastAsia="en-US"/>
    </w:rPr>
  </w:style>
  <w:style w:type="character" w:customStyle="1" w:styleId="FunotentextZchn">
    <w:name w:val="Fußnotentext Zchn"/>
    <w:basedOn w:val="Absatz-Standardschriftart"/>
    <w:link w:val="Funotentext"/>
    <w:uiPriority w:val="99"/>
    <w:rsid w:val="00ED1BB2"/>
    <w:rPr>
      <w:sz w:val="24"/>
      <w:szCs w:val="24"/>
    </w:rPr>
  </w:style>
  <w:style w:type="character" w:styleId="Funotenzeichen">
    <w:name w:val="footnote reference"/>
    <w:basedOn w:val="Absatz-Standardschriftart"/>
    <w:uiPriority w:val="99"/>
    <w:unhideWhenUsed/>
    <w:rsid w:val="00ED1BB2"/>
    <w:rPr>
      <w:vertAlign w:val="superscript"/>
    </w:rPr>
  </w:style>
  <w:style w:type="character" w:styleId="Hyperlink">
    <w:name w:val="Hyperlink"/>
    <w:basedOn w:val="Absatz-Standardschriftart"/>
    <w:uiPriority w:val="99"/>
    <w:unhideWhenUsed/>
    <w:rsid w:val="00A40C1C"/>
    <w:rPr>
      <w:color w:val="0000FF" w:themeColor="hyperlink"/>
      <w:u w:val="single"/>
    </w:rPr>
  </w:style>
  <w:style w:type="character" w:styleId="BesuchterHyperlink">
    <w:name w:val="FollowedHyperlink"/>
    <w:basedOn w:val="Absatz-Standardschriftart"/>
    <w:uiPriority w:val="99"/>
    <w:semiHidden/>
    <w:unhideWhenUsed/>
    <w:rsid w:val="00D034A8"/>
    <w:rPr>
      <w:color w:val="800080" w:themeColor="followedHyperlink"/>
      <w:u w:val="single"/>
    </w:rPr>
  </w:style>
  <w:style w:type="paragraph" w:styleId="Kopfzeile">
    <w:name w:val="header"/>
    <w:basedOn w:val="Standard"/>
    <w:link w:val="KopfzeileZchn"/>
    <w:uiPriority w:val="99"/>
    <w:unhideWhenUsed/>
    <w:rsid w:val="00C96BA9"/>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C96BA9"/>
  </w:style>
  <w:style w:type="paragraph" w:styleId="Endnotentext">
    <w:name w:val="endnote text"/>
    <w:basedOn w:val="Standard"/>
    <w:link w:val="EndnotentextZchn"/>
    <w:uiPriority w:val="99"/>
    <w:semiHidden/>
    <w:unhideWhenUsed/>
    <w:rsid w:val="00FB459F"/>
    <w:rPr>
      <w:sz w:val="20"/>
      <w:szCs w:val="20"/>
    </w:rPr>
  </w:style>
  <w:style w:type="character" w:customStyle="1" w:styleId="EndnotentextZchn">
    <w:name w:val="Endnotentext Zchn"/>
    <w:basedOn w:val="Absatz-Standardschriftart"/>
    <w:link w:val="Endnotentext"/>
    <w:uiPriority w:val="99"/>
    <w:semiHidden/>
    <w:rsid w:val="00FB459F"/>
    <w:rPr>
      <w:sz w:val="20"/>
      <w:szCs w:val="20"/>
    </w:rPr>
  </w:style>
  <w:style w:type="character" w:styleId="Endnotenzeichen">
    <w:name w:val="endnote reference"/>
    <w:basedOn w:val="Absatz-Standardschriftart"/>
    <w:uiPriority w:val="99"/>
    <w:semiHidden/>
    <w:unhideWhenUsed/>
    <w:rsid w:val="00FB459F"/>
    <w:rPr>
      <w:vertAlign w:val="superscript"/>
    </w:rPr>
  </w:style>
  <w:style w:type="character" w:customStyle="1" w:styleId="zit">
    <w:name w:val="zit"/>
    <w:basedOn w:val="Absatz-Standardschriftart"/>
    <w:rsid w:val="00440A0F"/>
  </w:style>
  <w:style w:type="character" w:customStyle="1" w:styleId="highlight">
    <w:name w:val="highlight"/>
    <w:basedOn w:val="Absatz-Standardschriftart"/>
    <w:rsid w:val="00440A0F"/>
  </w:style>
  <w:style w:type="character" w:styleId="Hervorhebung">
    <w:name w:val="Emphasis"/>
    <w:basedOn w:val="Absatz-Standardschriftart"/>
    <w:uiPriority w:val="20"/>
    <w:qFormat/>
    <w:rsid w:val="00DF58CD"/>
    <w:rPr>
      <w:i/>
      <w:iCs/>
    </w:rPr>
  </w:style>
  <w:style w:type="character" w:customStyle="1" w:styleId="NichtaufgelsteErwhnung1">
    <w:name w:val="Nicht aufgelöste Erwähnung1"/>
    <w:basedOn w:val="Absatz-Standardschriftart"/>
    <w:uiPriority w:val="99"/>
    <w:semiHidden/>
    <w:unhideWhenUsed/>
    <w:rsid w:val="00524789"/>
    <w:rPr>
      <w:color w:val="605E5C"/>
      <w:shd w:val="clear" w:color="auto" w:fill="E1DFDD"/>
    </w:rPr>
  </w:style>
  <w:style w:type="character" w:customStyle="1" w:styleId="UnresolvedMention">
    <w:name w:val="Unresolved Mention"/>
    <w:basedOn w:val="Absatz-Standardschriftart"/>
    <w:uiPriority w:val="99"/>
    <w:semiHidden/>
    <w:unhideWhenUsed/>
    <w:rsid w:val="00B2107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167F"/>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845FF"/>
    <w:pPr>
      <w:spacing w:after="200" w:line="276" w:lineRule="auto"/>
      <w:ind w:left="720"/>
      <w:contextualSpacing/>
    </w:pPr>
    <w:rPr>
      <w:rFonts w:asciiTheme="minorHAnsi" w:eastAsiaTheme="minorHAnsi" w:hAnsiTheme="minorHAnsi" w:cstheme="minorBidi"/>
      <w:sz w:val="22"/>
      <w:szCs w:val="22"/>
      <w:lang w:eastAsia="en-US"/>
    </w:rPr>
  </w:style>
  <w:style w:type="paragraph" w:styleId="Fuzeile">
    <w:name w:val="footer"/>
    <w:basedOn w:val="Standard"/>
    <w:link w:val="FuzeileZchn"/>
    <w:uiPriority w:val="99"/>
    <w:unhideWhenUsed/>
    <w:rsid w:val="00E34230"/>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E34230"/>
  </w:style>
  <w:style w:type="character" w:styleId="Seitenzahl">
    <w:name w:val="page number"/>
    <w:basedOn w:val="Absatz-Standardschriftart"/>
    <w:uiPriority w:val="99"/>
    <w:semiHidden/>
    <w:unhideWhenUsed/>
    <w:rsid w:val="00E34230"/>
  </w:style>
  <w:style w:type="paragraph" w:styleId="Funotentext">
    <w:name w:val="footnote text"/>
    <w:basedOn w:val="Standard"/>
    <w:link w:val="FunotentextZchn"/>
    <w:uiPriority w:val="99"/>
    <w:unhideWhenUsed/>
    <w:rsid w:val="00ED1BB2"/>
    <w:rPr>
      <w:rFonts w:asciiTheme="minorHAnsi" w:eastAsiaTheme="minorHAnsi" w:hAnsiTheme="minorHAnsi" w:cstheme="minorBidi"/>
      <w:lang w:eastAsia="en-US"/>
    </w:rPr>
  </w:style>
  <w:style w:type="character" w:customStyle="1" w:styleId="FunotentextZchn">
    <w:name w:val="Fußnotentext Zchn"/>
    <w:basedOn w:val="Absatz-Standardschriftart"/>
    <w:link w:val="Funotentext"/>
    <w:uiPriority w:val="99"/>
    <w:rsid w:val="00ED1BB2"/>
    <w:rPr>
      <w:sz w:val="24"/>
      <w:szCs w:val="24"/>
    </w:rPr>
  </w:style>
  <w:style w:type="character" w:styleId="Funotenzeichen">
    <w:name w:val="footnote reference"/>
    <w:basedOn w:val="Absatz-Standardschriftart"/>
    <w:uiPriority w:val="99"/>
    <w:unhideWhenUsed/>
    <w:rsid w:val="00ED1BB2"/>
    <w:rPr>
      <w:vertAlign w:val="superscript"/>
    </w:rPr>
  </w:style>
  <w:style w:type="character" w:styleId="Hyperlink">
    <w:name w:val="Hyperlink"/>
    <w:basedOn w:val="Absatz-Standardschriftart"/>
    <w:uiPriority w:val="99"/>
    <w:unhideWhenUsed/>
    <w:rsid w:val="00A40C1C"/>
    <w:rPr>
      <w:color w:val="0000FF" w:themeColor="hyperlink"/>
      <w:u w:val="single"/>
    </w:rPr>
  </w:style>
  <w:style w:type="character" w:styleId="BesuchterHyperlink">
    <w:name w:val="FollowedHyperlink"/>
    <w:basedOn w:val="Absatz-Standardschriftart"/>
    <w:uiPriority w:val="99"/>
    <w:semiHidden/>
    <w:unhideWhenUsed/>
    <w:rsid w:val="00D034A8"/>
    <w:rPr>
      <w:color w:val="800080" w:themeColor="followedHyperlink"/>
      <w:u w:val="single"/>
    </w:rPr>
  </w:style>
  <w:style w:type="paragraph" w:styleId="Kopfzeile">
    <w:name w:val="header"/>
    <w:basedOn w:val="Standard"/>
    <w:link w:val="KopfzeileZchn"/>
    <w:uiPriority w:val="99"/>
    <w:unhideWhenUsed/>
    <w:rsid w:val="00C96BA9"/>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C96BA9"/>
  </w:style>
  <w:style w:type="paragraph" w:styleId="Endnotentext">
    <w:name w:val="endnote text"/>
    <w:basedOn w:val="Standard"/>
    <w:link w:val="EndnotentextZchn"/>
    <w:uiPriority w:val="99"/>
    <w:semiHidden/>
    <w:unhideWhenUsed/>
    <w:rsid w:val="00FB459F"/>
    <w:rPr>
      <w:sz w:val="20"/>
      <w:szCs w:val="20"/>
    </w:rPr>
  </w:style>
  <w:style w:type="character" w:customStyle="1" w:styleId="EndnotentextZchn">
    <w:name w:val="Endnotentext Zchn"/>
    <w:basedOn w:val="Absatz-Standardschriftart"/>
    <w:link w:val="Endnotentext"/>
    <w:uiPriority w:val="99"/>
    <w:semiHidden/>
    <w:rsid w:val="00FB459F"/>
    <w:rPr>
      <w:sz w:val="20"/>
      <w:szCs w:val="20"/>
    </w:rPr>
  </w:style>
  <w:style w:type="character" w:styleId="Endnotenzeichen">
    <w:name w:val="endnote reference"/>
    <w:basedOn w:val="Absatz-Standardschriftart"/>
    <w:uiPriority w:val="99"/>
    <w:semiHidden/>
    <w:unhideWhenUsed/>
    <w:rsid w:val="00FB459F"/>
    <w:rPr>
      <w:vertAlign w:val="superscript"/>
    </w:rPr>
  </w:style>
  <w:style w:type="character" w:customStyle="1" w:styleId="zit">
    <w:name w:val="zit"/>
    <w:basedOn w:val="Absatz-Standardschriftart"/>
    <w:rsid w:val="00440A0F"/>
  </w:style>
  <w:style w:type="character" w:customStyle="1" w:styleId="highlight">
    <w:name w:val="highlight"/>
    <w:basedOn w:val="Absatz-Standardschriftart"/>
    <w:rsid w:val="00440A0F"/>
  </w:style>
  <w:style w:type="character" w:styleId="Hervorhebung">
    <w:name w:val="Emphasis"/>
    <w:basedOn w:val="Absatz-Standardschriftart"/>
    <w:uiPriority w:val="20"/>
    <w:qFormat/>
    <w:rsid w:val="00DF58CD"/>
    <w:rPr>
      <w:i/>
      <w:iCs/>
    </w:rPr>
  </w:style>
  <w:style w:type="character" w:customStyle="1" w:styleId="NichtaufgelsteErwhnung1">
    <w:name w:val="Nicht aufgelöste Erwähnung1"/>
    <w:basedOn w:val="Absatz-Standardschriftart"/>
    <w:uiPriority w:val="99"/>
    <w:semiHidden/>
    <w:unhideWhenUsed/>
    <w:rsid w:val="00524789"/>
    <w:rPr>
      <w:color w:val="605E5C"/>
      <w:shd w:val="clear" w:color="auto" w:fill="E1DFDD"/>
    </w:rPr>
  </w:style>
  <w:style w:type="character" w:customStyle="1" w:styleId="UnresolvedMention">
    <w:name w:val="Unresolved Mention"/>
    <w:basedOn w:val="Absatz-Standardschriftart"/>
    <w:uiPriority w:val="99"/>
    <w:semiHidden/>
    <w:unhideWhenUsed/>
    <w:rsid w:val="00B21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509533">
      <w:bodyDiv w:val="1"/>
      <w:marLeft w:val="0"/>
      <w:marRight w:val="0"/>
      <w:marTop w:val="0"/>
      <w:marBottom w:val="0"/>
      <w:divBdr>
        <w:top w:val="none" w:sz="0" w:space="0" w:color="auto"/>
        <w:left w:val="none" w:sz="0" w:space="0" w:color="auto"/>
        <w:bottom w:val="none" w:sz="0" w:space="0" w:color="auto"/>
        <w:right w:val="none" w:sz="0" w:space="0" w:color="auto"/>
      </w:divBdr>
    </w:div>
    <w:div w:id="123627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4B4C0-20DC-4A28-8E93-0BDF639C0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4030</Words>
  <Characters>25393</Characters>
  <Application>Microsoft Office Word</Application>
  <DocSecurity>0</DocSecurity>
  <Lines>211</Lines>
  <Paragraphs>58</Paragraphs>
  <ScaleCrop>false</ScaleCrop>
  <HeadingPairs>
    <vt:vector size="2" baseType="variant">
      <vt:variant>
        <vt:lpstr>Titel</vt:lpstr>
      </vt:variant>
      <vt:variant>
        <vt:i4>1</vt:i4>
      </vt:variant>
    </vt:vector>
  </HeadingPairs>
  <TitlesOfParts>
    <vt:vector size="1" baseType="lpstr">
      <vt:lpstr/>
    </vt:vector>
  </TitlesOfParts>
  <Company>TUDO</Company>
  <LinksUpToDate>false</LinksUpToDate>
  <CharactersWithSpaces>29365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Bernhard Kresse</dc:creator>
  <cp:lastModifiedBy>Win7ADM</cp:lastModifiedBy>
  <cp:revision>3</cp:revision>
  <dcterms:created xsi:type="dcterms:W3CDTF">2018-11-06T11:10:00Z</dcterms:created>
  <dcterms:modified xsi:type="dcterms:W3CDTF">2018-11-06T13:17:00Z</dcterms:modified>
</cp:coreProperties>
</file>