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0F" w:rsidRDefault="004668FE">
      <w:pPr>
        <w:spacing w:after="0" w:line="240" w:lineRule="auto"/>
        <w:ind w:left="-1134"/>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204pt">
            <v:imagedata r:id="rId6" o:title="portal_image_show"/>
          </v:shape>
        </w:pict>
      </w:r>
    </w:p>
    <w:p w:rsidR="00BD340F" w:rsidRDefault="00BD340F">
      <w:pPr>
        <w:spacing w:after="0" w:line="240" w:lineRule="auto"/>
        <w:rPr>
          <w:rFonts w:ascii="Arial" w:eastAsia="Times New Roman" w:hAnsi="Arial" w:cs="Arial"/>
          <w:sz w:val="24"/>
          <w:szCs w:val="24"/>
          <w:lang w:eastAsia="de-DE"/>
        </w:rPr>
      </w:pP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Berliner Verwaltung ist die größte Arbeitgeberin in der Region. Rund 120.000 Beschäftigte der unmittelbaren Landesverwaltung setzen sich täglich dafür ein, dass Berlin als pulsierende Metropole und als Zuhause für 3,7 Millionen Menschen </w:t>
      </w:r>
      <w:r>
        <w:rPr>
          <w:rFonts w:ascii="Arial" w:eastAsia="Times New Roman" w:hAnsi="Arial" w:cs="Arial"/>
          <w:sz w:val="24"/>
          <w:szCs w:val="24"/>
          <w:lang w:eastAsia="de-DE"/>
        </w:rPr>
        <w:t>funktioniert. Hierbei bilden die Dienstkräfte des allgemeinen nichttechnischen Verwaltungsdienstes das Rückgrat der Berliner Verwaltung.</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br/>
      </w:r>
      <w:r>
        <w:rPr>
          <w:rFonts w:ascii="Arial" w:eastAsia="Times New Roman" w:hAnsi="Arial" w:cs="Arial"/>
          <w:sz w:val="24"/>
          <w:szCs w:val="24"/>
          <w:lang w:eastAsia="de-DE"/>
        </w:rPr>
        <w:br/>
      </w:r>
      <w:r>
        <w:rPr>
          <w:rFonts w:ascii="Arial" w:eastAsia="Times New Roman" w:hAnsi="Arial" w:cs="Arial"/>
          <w:sz w:val="24"/>
          <w:szCs w:val="24"/>
          <w:lang w:eastAsia="de-DE"/>
        </w:rPr>
        <w:br/>
        <w:t>Die Senatsverwaltung für Inneres und Sport (Dienstort: Hanns-Braun-Straße, 14053 Berlin) sucht ab sofort, unbefriste</w:t>
      </w:r>
      <w:r>
        <w:rPr>
          <w:rFonts w:ascii="Arial" w:eastAsia="Times New Roman" w:hAnsi="Arial" w:cs="Arial"/>
          <w:sz w:val="24"/>
          <w:szCs w:val="24"/>
          <w:lang w:eastAsia="de-DE"/>
        </w:rPr>
        <w:t>t, eine Mitarbeiterin/einen Mitarbeiter für die</w:t>
      </w:r>
    </w:p>
    <w:p w:rsidR="00BD340F" w:rsidRDefault="004668FE">
      <w:pPr>
        <w:spacing w:before="100" w:beforeAutospacing="1" w:after="100" w:afterAutospacing="1" w:line="240" w:lineRule="auto"/>
        <w:outlineLvl w:val="0"/>
        <w:rPr>
          <w:rFonts w:ascii="Arial" w:eastAsia="Times New Roman" w:hAnsi="Arial" w:cs="Arial"/>
          <w:b/>
          <w:bCs/>
          <w:color w:val="B11756"/>
          <w:kern w:val="36"/>
          <w:sz w:val="48"/>
          <w:szCs w:val="48"/>
          <w:lang w:eastAsia="de-DE"/>
        </w:rPr>
      </w:pPr>
      <w:r>
        <w:rPr>
          <w:rFonts w:ascii="Arial" w:eastAsia="Times New Roman" w:hAnsi="Arial" w:cs="Arial"/>
          <w:b/>
          <w:bCs/>
          <w:color w:val="B11756"/>
          <w:kern w:val="36"/>
          <w:sz w:val="48"/>
          <w:szCs w:val="48"/>
          <w:lang w:eastAsia="de-DE"/>
        </w:rPr>
        <w:t>Leitung des Sportmuseums Berlin sowie des Grünauer Wassersportmuseums (w/m/d)</w:t>
      </w:r>
    </w:p>
    <w:p w:rsidR="00BD340F" w:rsidRDefault="004668FE">
      <w:pPr>
        <w:spacing w:before="100" w:beforeAutospacing="1" w:after="100" w:afterAutospacing="1" w:line="240" w:lineRule="auto"/>
        <w:outlineLvl w:val="0"/>
        <w:rPr>
          <w:rFonts w:ascii="Arial" w:eastAsia="Times New Roman" w:hAnsi="Arial" w:cs="Arial"/>
          <w:b/>
          <w:bCs/>
          <w:color w:val="B11756"/>
          <w:kern w:val="36"/>
          <w:sz w:val="48"/>
          <w:szCs w:val="48"/>
          <w:lang w:eastAsia="de-DE"/>
        </w:rPr>
      </w:pPr>
      <w:r>
        <w:rPr>
          <w:rFonts w:ascii="Arial" w:eastAsia="Times New Roman" w:hAnsi="Arial" w:cs="Arial"/>
          <w:b/>
          <w:bCs/>
          <w:color w:val="B11756"/>
          <w:kern w:val="36"/>
          <w:sz w:val="48"/>
          <w:szCs w:val="48"/>
          <w:lang w:eastAsia="de-DE"/>
        </w:rPr>
        <w:t>Kennziffer: IV 21/2020</w:t>
      </w:r>
    </w:p>
    <w:p w:rsidR="00BD340F" w:rsidRDefault="004668FE">
      <w:pPr>
        <w:spacing w:before="100" w:beforeAutospacing="1" w:after="100" w:afterAutospacing="1" w:line="240" w:lineRule="auto"/>
        <w:outlineLvl w:val="0"/>
        <w:rPr>
          <w:rFonts w:ascii="Arial" w:eastAsia="Times New Roman" w:hAnsi="Arial" w:cs="Arial"/>
          <w:b/>
          <w:bCs/>
          <w:color w:val="B11756"/>
          <w:kern w:val="36"/>
          <w:sz w:val="48"/>
          <w:szCs w:val="48"/>
          <w:lang w:eastAsia="de-DE"/>
        </w:rPr>
      </w:pPr>
      <w:r>
        <w:rPr>
          <w:rFonts w:ascii="Arial" w:eastAsia="Times New Roman" w:hAnsi="Arial" w:cs="Arial"/>
          <w:b/>
          <w:bCs/>
          <w:color w:val="B11756"/>
          <w:kern w:val="36"/>
          <w:sz w:val="48"/>
          <w:szCs w:val="48"/>
          <w:lang w:eastAsia="de-DE"/>
        </w:rPr>
        <w:t>Entgeltgruppe: E 14 TV-L</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t>Vollzeit mit 39,4 Wochenstunden</w:t>
      </w:r>
      <w:r>
        <w:rPr>
          <w:rFonts w:ascii="Arial" w:eastAsia="Times New Roman" w:hAnsi="Arial" w:cs="Arial"/>
          <w:b/>
          <w:bCs/>
          <w:color w:val="B11756"/>
          <w:sz w:val="36"/>
          <w:szCs w:val="36"/>
          <w:lang w:eastAsia="de-DE"/>
        </w:rPr>
        <w:br/>
        <w:t>Teilzeitbeschäftigung ist im Rahmen der üblichen</w:t>
      </w:r>
      <w:r>
        <w:rPr>
          <w:rFonts w:ascii="Arial" w:eastAsia="Times New Roman" w:hAnsi="Arial" w:cs="Arial"/>
          <w:b/>
          <w:bCs/>
          <w:color w:val="B11756"/>
          <w:sz w:val="36"/>
          <w:szCs w:val="36"/>
          <w:lang w:eastAsia="de-DE"/>
        </w:rPr>
        <w:t xml:space="preserve"> Modelle möglich.</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w:t>
      </w:r>
    </w:p>
    <w:p w:rsidR="00BD340F" w:rsidRDefault="004668FE">
      <w:pPr>
        <w:spacing w:before="100" w:beforeAutospacing="1" w:after="100" w:afterAutospacing="1" w:line="240" w:lineRule="auto"/>
        <w:outlineLvl w:val="2"/>
        <w:rPr>
          <w:rFonts w:ascii="Arial" w:eastAsia="Times New Roman" w:hAnsi="Arial" w:cs="Arial"/>
          <w:b/>
          <w:bCs/>
          <w:color w:val="B11756"/>
          <w:sz w:val="27"/>
          <w:szCs w:val="27"/>
          <w:lang w:eastAsia="de-DE"/>
        </w:rPr>
      </w:pPr>
      <w:r>
        <w:rPr>
          <w:rFonts w:ascii="Arial" w:eastAsia="Times New Roman" w:hAnsi="Arial" w:cs="Arial"/>
          <w:b/>
          <w:bCs/>
          <w:color w:val="B11756"/>
          <w:sz w:val="27"/>
          <w:szCs w:val="27"/>
          <w:lang w:eastAsia="de-DE"/>
        </w:rPr>
        <w:t>Beschreibung des Aufgabengebietes</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Das Aufgabengebiet umfasst:</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Gesamtverantwortung für die strategische und inhaltlich-konzeptionelle Ausrichtung des Museums, die Gewährleistung der Standards der Museumsarbeit und die Weiterentwicklung </w:t>
      </w:r>
      <w:r>
        <w:rPr>
          <w:rFonts w:ascii="Arial" w:eastAsia="Times New Roman" w:hAnsi="Arial" w:cs="Arial"/>
          <w:sz w:val="24"/>
          <w:szCs w:val="24"/>
          <w:lang w:eastAsia="de-DE"/>
        </w:rPr>
        <w:t>der Sammlungs-, Forschungs-, Ausstellungs- und Vermittlungsarbeit</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Management des Museumsbetriebes und Steuerung der Marketingaktivitäten</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Entwurf und Umsetzung des Wirtschaftsplans</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Koordinierung Verwaltungsaufgaben und externe Dienstleister</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Verantwortung fü</w:t>
      </w:r>
      <w:r>
        <w:rPr>
          <w:rFonts w:ascii="Arial" w:eastAsia="Times New Roman" w:hAnsi="Arial" w:cs="Arial"/>
          <w:sz w:val="24"/>
          <w:szCs w:val="24"/>
          <w:lang w:eastAsia="de-DE"/>
        </w:rPr>
        <w:t>r die Pflege, die wissenschaftliche Erschließung, die Intensivierung der Digitalisierung und den zielgerichteten Ausbau der Sammlungen</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Fortschreibung der Forschungs- und Publikationstätigkeit zur Berliner Sportgeschichte</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Koordinierung der inhaltlich-konzep</w:t>
      </w:r>
      <w:r>
        <w:rPr>
          <w:rFonts w:ascii="Arial" w:eastAsia="Times New Roman" w:hAnsi="Arial" w:cs="Arial"/>
          <w:sz w:val="24"/>
          <w:szCs w:val="24"/>
          <w:lang w:eastAsia="de-DE"/>
        </w:rPr>
        <w:t>tionellen Vorbereitung und Umsetzung der neuen Dauerausstellungen des Museums in der Maifeldtribüne am Glockenturm und in der Regattatribüne Grünau und Vorbereitung der Inbetriebnahme der neuen Museumsstandorte</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museumsfachliche Begleitung der Bauprojekte z</w:t>
      </w:r>
      <w:r>
        <w:rPr>
          <w:rFonts w:ascii="Arial" w:eastAsia="Times New Roman" w:hAnsi="Arial" w:cs="Arial"/>
          <w:sz w:val="24"/>
          <w:szCs w:val="24"/>
          <w:lang w:eastAsia="de-DE"/>
        </w:rPr>
        <w:t>ur Sanierung der Maifeldtribüne am Glockenturm und der Regattatribüne in Grünau (Ausbau der neuen Museumsräume)</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Entwicklung eines modernen Vermittlungs- und Veranstaltungsprogramms für beide Standorte</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Konzipierung und Realisierung von Wechsel- und </w:t>
      </w:r>
      <w:r>
        <w:rPr>
          <w:rFonts w:ascii="Arial" w:eastAsia="Times New Roman" w:hAnsi="Arial" w:cs="Arial"/>
          <w:sz w:val="24"/>
          <w:szCs w:val="24"/>
          <w:lang w:eastAsia="de-DE"/>
        </w:rPr>
        <w:t>Wanderausstellungen zu historischen und aktuellen Themen der Sportentwicklung</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Erarbeitung von Begleitpublikationen, Informations- und Werbematerialien sowie digitaler Kommunikationsformate</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Vertretung des Museums gegenüber dem Rechtsträger und der Öffentlic</w:t>
      </w:r>
      <w:r>
        <w:rPr>
          <w:rFonts w:ascii="Arial" w:eastAsia="Times New Roman" w:hAnsi="Arial" w:cs="Arial"/>
          <w:sz w:val="24"/>
          <w:szCs w:val="24"/>
          <w:lang w:eastAsia="de-DE"/>
        </w:rPr>
        <w:t>hkeit</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Zusammenarbeit mit dem Fördererverein, ehrenamtlich Mitarbeitenden und bürgerschaftlichen Akteuren</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Vernetzung mit anderen Museen und Kulturinstitutionen, insbesondere mit den Sportmuseen im In- und Ausland</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Pflege und Ausbau regionaler und internation</w:t>
      </w:r>
      <w:r>
        <w:rPr>
          <w:rFonts w:ascii="Arial" w:eastAsia="Times New Roman" w:hAnsi="Arial" w:cs="Arial"/>
          <w:sz w:val="24"/>
          <w:szCs w:val="24"/>
          <w:lang w:eastAsia="de-DE"/>
        </w:rPr>
        <w:t xml:space="preserve">aler Kooperationen und Partnerschaften aus dem Sport, insbesondere mit den Berliner Sportorganisationen und der Alliance </w:t>
      </w:r>
      <w:proofErr w:type="spellStart"/>
      <w:r>
        <w:rPr>
          <w:rFonts w:ascii="Arial" w:eastAsia="Times New Roman" w:hAnsi="Arial" w:cs="Arial"/>
          <w:sz w:val="24"/>
          <w:szCs w:val="24"/>
          <w:lang w:eastAsia="de-DE"/>
        </w:rPr>
        <w:t>of</w:t>
      </w:r>
      <w:proofErr w:type="spellEnd"/>
      <w:r>
        <w:rPr>
          <w:rFonts w:ascii="Arial" w:eastAsia="Times New Roman" w:hAnsi="Arial" w:cs="Arial"/>
          <w:sz w:val="24"/>
          <w:szCs w:val="24"/>
          <w:lang w:eastAsia="de-DE"/>
        </w:rPr>
        <w:t xml:space="preserve"> Independent </w:t>
      </w:r>
      <w:proofErr w:type="spellStart"/>
      <w:r>
        <w:rPr>
          <w:rFonts w:ascii="Arial" w:eastAsia="Times New Roman" w:hAnsi="Arial" w:cs="Arial"/>
          <w:sz w:val="24"/>
          <w:szCs w:val="24"/>
          <w:lang w:eastAsia="de-DE"/>
        </w:rPr>
        <w:t>recognised</w:t>
      </w:r>
      <w:proofErr w:type="spellEnd"/>
      <w:r>
        <w:rPr>
          <w:rFonts w:ascii="Arial" w:eastAsia="Times New Roman" w:hAnsi="Arial" w:cs="Arial"/>
          <w:sz w:val="24"/>
          <w:szCs w:val="24"/>
          <w:lang w:eastAsia="de-DE"/>
        </w:rPr>
        <w:t xml:space="preserve"> Members </w:t>
      </w:r>
      <w:proofErr w:type="spellStart"/>
      <w:r>
        <w:rPr>
          <w:rFonts w:ascii="Arial" w:eastAsia="Times New Roman" w:hAnsi="Arial" w:cs="Arial"/>
          <w:sz w:val="24"/>
          <w:szCs w:val="24"/>
          <w:lang w:eastAsia="de-DE"/>
        </w:rPr>
        <w:t>of</w:t>
      </w:r>
      <w:proofErr w:type="spellEnd"/>
      <w:r>
        <w:rPr>
          <w:rFonts w:ascii="Arial" w:eastAsia="Times New Roman" w:hAnsi="Arial" w:cs="Arial"/>
          <w:sz w:val="24"/>
          <w:szCs w:val="24"/>
          <w:lang w:eastAsia="de-DE"/>
        </w:rPr>
        <w:t xml:space="preserve"> Sport (AIMS)</w:t>
      </w:r>
    </w:p>
    <w:p w:rsidR="00BD340F" w:rsidRDefault="004668FE">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Drittmittelakquise</w:t>
      </w:r>
    </w:p>
    <w:p w:rsidR="00BD340F" w:rsidRDefault="004668FE">
      <w:pPr>
        <w:spacing w:before="100" w:beforeAutospacing="1" w:after="100" w:afterAutospacing="1" w:line="240" w:lineRule="auto"/>
        <w:outlineLvl w:val="1"/>
        <w:rPr>
          <w:rFonts w:ascii="Arial" w:eastAsia="Times New Roman" w:hAnsi="Arial" w:cs="Arial"/>
          <w:b/>
          <w:bCs/>
          <w:sz w:val="36"/>
          <w:szCs w:val="36"/>
          <w:lang w:eastAsia="de-DE"/>
        </w:rPr>
      </w:pPr>
      <w:r>
        <w:rPr>
          <w:rFonts w:ascii="Arial" w:eastAsia="Times New Roman" w:hAnsi="Arial" w:cs="Arial"/>
          <w:b/>
          <w:bCs/>
          <w:sz w:val="36"/>
          <w:szCs w:val="36"/>
          <w:lang w:eastAsia="de-DE"/>
        </w:rPr>
        <w:br/>
      </w:r>
      <w:r>
        <w:rPr>
          <w:rFonts w:ascii="Arial" w:eastAsia="Times New Roman" w:hAnsi="Arial" w:cs="Arial"/>
          <w:b/>
          <w:bCs/>
          <w:color w:val="B11756"/>
          <w:sz w:val="36"/>
          <w:szCs w:val="36"/>
          <w:lang w:eastAsia="de-DE"/>
        </w:rPr>
        <w:t>Formale Anforderungen</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w:t>
      </w:r>
    </w:p>
    <w:p w:rsidR="00BD340F" w:rsidRDefault="004668FE">
      <w:pPr>
        <w:numPr>
          <w:ilvl w:val="0"/>
          <w:numId w:val="2"/>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Bewerberinnen und Bewerber müssen über ei</w:t>
      </w:r>
      <w:r>
        <w:rPr>
          <w:rFonts w:ascii="Arial" w:eastAsia="Times New Roman" w:hAnsi="Arial" w:cs="Arial"/>
          <w:sz w:val="24"/>
          <w:szCs w:val="24"/>
          <w:lang w:eastAsia="de-DE"/>
        </w:rPr>
        <w:t xml:space="preserve">n abgeschlossenes wissenschaftliches Hochschulstudium (Diplom Universität, Master, Staatsprüfung oder vergleichbare Studienabschlüsse) in Geschichte, Kulturgeschichte, </w:t>
      </w:r>
      <w:proofErr w:type="spellStart"/>
      <w:r>
        <w:rPr>
          <w:rFonts w:ascii="Arial" w:eastAsia="Times New Roman" w:hAnsi="Arial" w:cs="Arial"/>
          <w:sz w:val="24"/>
          <w:szCs w:val="24"/>
          <w:lang w:eastAsia="de-DE"/>
        </w:rPr>
        <w:t>Museologie</w:t>
      </w:r>
      <w:proofErr w:type="spellEnd"/>
      <w:r>
        <w:rPr>
          <w:rFonts w:ascii="Arial" w:eastAsia="Times New Roman" w:hAnsi="Arial" w:cs="Arial"/>
          <w:sz w:val="24"/>
          <w:szCs w:val="24"/>
          <w:lang w:eastAsia="de-DE"/>
        </w:rPr>
        <w:t xml:space="preserve"> oder Sportwissenschaft mit Schwerpunkt Sportgeschichte verfügen oder über</w:t>
      </w:r>
    </w:p>
    <w:p w:rsidR="00BD340F" w:rsidRDefault="004668FE">
      <w:pPr>
        <w:numPr>
          <w:ilvl w:val="0"/>
          <w:numId w:val="2"/>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gleichwertige Fähigkeiten, Kenntnisse und Erfahrungen</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t>Fachliche Anforderungen</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br/>
        <w:t>Für die Aufgabenwahrnehmung sind von Vorteil:</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gründliche Kenntnisse und Erfahrungen zum Betrieb von Museen oder vergleichbaren Kultureinrichtungen/-organisationen und/oder dem</w:t>
      </w:r>
      <w:r>
        <w:rPr>
          <w:rFonts w:ascii="Arial" w:eastAsia="Times New Roman" w:hAnsi="Arial" w:cs="Arial"/>
          <w:sz w:val="24"/>
          <w:szCs w:val="24"/>
          <w:lang w:eastAsia="de-DE"/>
        </w:rPr>
        <w:t xml:space="preserve"> Aufbau und der Pflege von Sammlungen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herausgehobene Kenntnisse der deutschen und der europäischen Sportgeschichte, idealerweise insbesondere der Sportgeschichte Berlins</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sichere Kenntnisse und Erfahrungen im Projektmanagement von Dauer- und/oder komplexen </w:t>
      </w:r>
      <w:r>
        <w:rPr>
          <w:rFonts w:ascii="Arial" w:eastAsia="Times New Roman" w:hAnsi="Arial" w:cs="Arial"/>
          <w:sz w:val="24"/>
          <w:szCs w:val="24"/>
          <w:lang w:eastAsia="de-DE"/>
        </w:rPr>
        <w:t>Sonderausstellungen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der Strukturen, Organisationen und Institutionen des Sports und des Sportbetriebes, insbesondere des Berliner Sports</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ausgeprägte Kenntnisse und Fähigkeiten zum komplexen, analytischen und konzeptionellen Arbeiten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anwendungssi</w:t>
      </w:r>
      <w:r>
        <w:rPr>
          <w:rFonts w:ascii="Arial" w:eastAsia="Times New Roman" w:hAnsi="Arial" w:cs="Arial"/>
          <w:sz w:val="24"/>
          <w:szCs w:val="24"/>
          <w:lang w:eastAsia="de-DE"/>
        </w:rPr>
        <w:t>chere Kenntnisse der englischen Sprache in Wort und Schrift</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gründliche Kenntnisse über die Organisationsführung und -steuerung, z.B. Qualitätsmessung, -bewertung, -verbesserung, -sicherung)</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Kenntnisse über und Erfahrungen mit Inhalte(n), Methoden und </w:t>
      </w:r>
      <w:r>
        <w:rPr>
          <w:rFonts w:ascii="Arial" w:eastAsia="Times New Roman" w:hAnsi="Arial" w:cs="Arial"/>
          <w:sz w:val="24"/>
          <w:szCs w:val="24"/>
          <w:lang w:eastAsia="de-DE"/>
        </w:rPr>
        <w:t>Instrumente(n) des Organisationsmanagements (strategische Steuerung von Organisationsänderungsprozessen und Organisationsentwicklungsprozessen)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für das Marketing von Museen oder anderen kulturellen oder sportlichen Einrichtungen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der G</w:t>
      </w:r>
      <w:r>
        <w:rPr>
          <w:rFonts w:ascii="Arial" w:eastAsia="Times New Roman" w:hAnsi="Arial" w:cs="Arial"/>
          <w:sz w:val="24"/>
          <w:szCs w:val="24"/>
          <w:lang w:eastAsia="de-DE"/>
        </w:rPr>
        <w:t>rundlagen der strategischen und betriebswirtschaftlichen Steuerung von Organisationseinheiten</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über und Erfahrungen mit Inhalte(n), Methoden und Instrumente(n) des Personalmanagements (Personalentwicklung, -planung, -führung)</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über Konz</w:t>
      </w:r>
      <w:r>
        <w:rPr>
          <w:rFonts w:ascii="Arial" w:eastAsia="Times New Roman" w:hAnsi="Arial" w:cs="Arial"/>
          <w:sz w:val="24"/>
          <w:szCs w:val="24"/>
          <w:lang w:eastAsia="de-DE"/>
        </w:rPr>
        <w:t>epte der Gleichstellungspolitik</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anwendungssichere IT-Kenntnisse für den Büro- und Museumsbetrieb sowie IT-Affinität für Digitalisierungsprojekte</w:t>
      </w:r>
    </w:p>
    <w:p w:rsidR="00BD340F" w:rsidRDefault="004668FE">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Kenntnisse und Erfahrungen in der Anwendung des Geschäftsprozessmanagements</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t>Außerfachliche Anforderungen</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Für</w:t>
      </w:r>
      <w:r>
        <w:rPr>
          <w:rFonts w:ascii="Arial" w:eastAsia="Times New Roman" w:hAnsi="Arial" w:cs="Arial"/>
          <w:sz w:val="24"/>
          <w:szCs w:val="24"/>
          <w:lang w:eastAsia="de-DE"/>
        </w:rPr>
        <w:t xml:space="preserve"> die Wahrnehmung der Aufgaben wird eine leistungs-, lern- und veränderungsbereite Persönlichkeit gesucht, die neben Organisations- und Entscheidungsfähigkeit über Belastbarkeit verfügt. Zudem sind Kommunikations- und Kooperationsfähigkeit, sowie Dienstleis</w:t>
      </w:r>
      <w:r>
        <w:rPr>
          <w:rFonts w:ascii="Arial" w:eastAsia="Times New Roman" w:hAnsi="Arial" w:cs="Arial"/>
          <w:sz w:val="24"/>
          <w:szCs w:val="24"/>
          <w:lang w:eastAsia="de-DE"/>
        </w:rPr>
        <w:t>tungsorientierung unabdingbar. Strategische Kompetenz und Durchsetzungsfähigkeit werden vorausgesetzt.</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t>Weitere Hinweise</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Das detaillierte Anforderungsprofil kann über den Button „weitere Informationen“ abgerufen werden. Es wird empfohlen, das Anforderungsp</w:t>
      </w:r>
      <w:r>
        <w:rPr>
          <w:rFonts w:ascii="Arial" w:eastAsia="Times New Roman" w:hAnsi="Arial" w:cs="Arial"/>
          <w:sz w:val="24"/>
          <w:szCs w:val="24"/>
          <w:lang w:eastAsia="de-DE"/>
        </w:rPr>
        <w:t>rofil zu speichern, da es nach dem Ende der Ausschreibungsfrist auf dem Karriereportal nicht mehr einsehbar ist.</w:t>
      </w:r>
      <w:r>
        <w:rPr>
          <w:rFonts w:ascii="Arial" w:eastAsia="Times New Roman" w:hAnsi="Arial" w:cs="Arial"/>
          <w:sz w:val="24"/>
          <w:szCs w:val="24"/>
          <w:lang w:eastAsia="de-DE"/>
        </w:rPr>
        <w:br/>
      </w:r>
      <w:r>
        <w:rPr>
          <w:rFonts w:ascii="Arial" w:eastAsia="Times New Roman" w:hAnsi="Arial" w:cs="Arial"/>
          <w:sz w:val="24"/>
          <w:szCs w:val="24"/>
          <w:lang w:eastAsia="de-DE"/>
        </w:rPr>
        <w:br/>
        <w:t>Derzeit sind in der ausgeschriebenen Entgeltgruppe in unserer Verwaltung Frauen unterrepräsentiert. Gemäß Frauenförderplan haben wir uns verpf</w:t>
      </w:r>
      <w:r>
        <w:rPr>
          <w:rFonts w:ascii="Arial" w:eastAsia="Times New Roman" w:hAnsi="Arial" w:cs="Arial"/>
          <w:sz w:val="24"/>
          <w:szCs w:val="24"/>
          <w:lang w:eastAsia="de-DE"/>
        </w:rPr>
        <w:t xml:space="preserve">lichtet, Frauen in diesen Entgeltgruppen besonders zu fördern. Daher werden Frauen besonders dazu </w:t>
      </w:r>
      <w:r>
        <w:rPr>
          <w:rFonts w:ascii="Arial" w:eastAsia="Times New Roman" w:hAnsi="Arial" w:cs="Arial"/>
          <w:sz w:val="24"/>
          <w:szCs w:val="24"/>
          <w:lang w:eastAsia="de-DE"/>
        </w:rPr>
        <w:lastRenderedPageBreak/>
        <w:t>aufgefordert, sich zu bewerben, und werden bei gleichwertiger Qualifikation (Eignung, Befähigung und fachliche Leistung) bevorzugt berücksichtigt.</w:t>
      </w:r>
      <w:r>
        <w:rPr>
          <w:rFonts w:ascii="Arial" w:eastAsia="Times New Roman" w:hAnsi="Arial" w:cs="Arial"/>
          <w:sz w:val="24"/>
          <w:szCs w:val="24"/>
          <w:lang w:eastAsia="de-DE"/>
        </w:rPr>
        <w:br/>
      </w:r>
      <w:r>
        <w:rPr>
          <w:rFonts w:ascii="Arial" w:eastAsia="Times New Roman" w:hAnsi="Arial" w:cs="Arial"/>
          <w:sz w:val="24"/>
          <w:szCs w:val="24"/>
          <w:lang w:eastAsia="de-DE"/>
        </w:rPr>
        <w:br/>
        <w:t>Anerkannte</w:t>
      </w:r>
      <w:r>
        <w:rPr>
          <w:rFonts w:ascii="Arial" w:eastAsia="Times New Roman" w:hAnsi="Arial" w:cs="Arial"/>
          <w:sz w:val="24"/>
          <w:szCs w:val="24"/>
          <w:lang w:eastAsia="de-DE"/>
        </w:rPr>
        <w:t xml:space="preserve"> Schwerbehinderte werden besonders dazu aufgefordert, sich zu bewerben, und werden bei gleichwertiger Qualifikation (Eignung, Befähigung und fachliche Leistung) bevorzugt berücksichtigt.</w:t>
      </w:r>
      <w:r>
        <w:rPr>
          <w:rFonts w:ascii="Arial" w:eastAsia="Times New Roman" w:hAnsi="Arial" w:cs="Arial"/>
          <w:sz w:val="24"/>
          <w:szCs w:val="24"/>
          <w:lang w:eastAsia="de-DE"/>
        </w:rPr>
        <w:br/>
      </w:r>
      <w:r>
        <w:rPr>
          <w:rFonts w:ascii="Arial" w:eastAsia="Times New Roman" w:hAnsi="Arial" w:cs="Arial"/>
          <w:sz w:val="24"/>
          <w:szCs w:val="24"/>
          <w:lang w:eastAsia="de-DE"/>
        </w:rPr>
        <w:br/>
        <w:t>Menschen mit Migrationshintergrund und Angehörige ethnischer Minderh</w:t>
      </w:r>
      <w:r>
        <w:rPr>
          <w:rFonts w:ascii="Arial" w:eastAsia="Times New Roman" w:hAnsi="Arial" w:cs="Arial"/>
          <w:sz w:val="24"/>
          <w:szCs w:val="24"/>
          <w:lang w:eastAsia="de-DE"/>
        </w:rPr>
        <w:t>eiten werden ausdrücklich ermutigt, sich zu bewerben. Die Auswahl wird aufgrund der Eignung getroffen.</w:t>
      </w:r>
      <w:r>
        <w:rPr>
          <w:rFonts w:ascii="Arial" w:eastAsia="Times New Roman" w:hAnsi="Arial" w:cs="Arial"/>
          <w:sz w:val="24"/>
          <w:szCs w:val="24"/>
          <w:lang w:eastAsia="de-DE"/>
        </w:rPr>
        <w:br/>
      </w:r>
      <w:r>
        <w:rPr>
          <w:rFonts w:ascii="Arial" w:eastAsia="Times New Roman" w:hAnsi="Arial" w:cs="Arial"/>
          <w:sz w:val="24"/>
          <w:szCs w:val="24"/>
          <w:lang w:eastAsia="de-DE"/>
        </w:rPr>
        <w:br/>
        <w:t>Personalüberhangkräfte sind aufgefordert, sich im Rahmen dieser Ausschreibung selbst zu bewerben.</w:t>
      </w:r>
      <w:r>
        <w:rPr>
          <w:rFonts w:ascii="Arial" w:eastAsia="Times New Roman" w:hAnsi="Arial" w:cs="Arial"/>
          <w:sz w:val="24"/>
          <w:szCs w:val="24"/>
          <w:lang w:eastAsia="de-DE"/>
        </w:rPr>
        <w:br/>
      </w:r>
      <w:r>
        <w:rPr>
          <w:rFonts w:ascii="Arial" w:eastAsia="Times New Roman" w:hAnsi="Arial" w:cs="Arial"/>
          <w:sz w:val="24"/>
          <w:szCs w:val="24"/>
          <w:lang w:eastAsia="de-DE"/>
        </w:rPr>
        <w:br/>
        <w:t>Wir sind ein familienfreundlicher Arbeitgeber und dur</w:t>
      </w:r>
      <w:r>
        <w:rPr>
          <w:rFonts w:ascii="Arial" w:eastAsia="Times New Roman" w:hAnsi="Arial" w:cs="Arial"/>
          <w:sz w:val="24"/>
          <w:szCs w:val="24"/>
          <w:lang w:eastAsia="de-DE"/>
        </w:rPr>
        <w:t xml:space="preserve">ch die </w:t>
      </w:r>
      <w:proofErr w:type="spellStart"/>
      <w:r>
        <w:rPr>
          <w:rFonts w:ascii="Arial" w:eastAsia="Times New Roman" w:hAnsi="Arial" w:cs="Arial"/>
          <w:sz w:val="24"/>
          <w:szCs w:val="24"/>
          <w:lang w:eastAsia="de-DE"/>
        </w:rPr>
        <w:t>berufundfamilie</w:t>
      </w:r>
      <w:proofErr w:type="spellEnd"/>
      <w:r>
        <w:rPr>
          <w:rFonts w:ascii="Arial" w:eastAsia="Times New Roman" w:hAnsi="Arial" w:cs="Arial"/>
          <w:sz w:val="24"/>
          <w:szCs w:val="24"/>
          <w:lang w:eastAsia="de-DE"/>
        </w:rPr>
        <w:t xml:space="preserve"> gGmbH zertifiziert. Die Instrumente des „Familienbewussten Führens“ werden aktiv zur Verfügung gestellt. Dies schließt flexible Arbeitszeit- und Arbeitsortregelungen - auch für Führungskräfte - mit ein.</w:t>
      </w:r>
      <w:r>
        <w:rPr>
          <w:rFonts w:ascii="Arial" w:eastAsia="Times New Roman" w:hAnsi="Arial" w:cs="Arial"/>
          <w:sz w:val="24"/>
          <w:szCs w:val="24"/>
          <w:lang w:eastAsia="de-DE"/>
        </w:rPr>
        <w:br/>
      </w:r>
      <w:r>
        <w:rPr>
          <w:rFonts w:ascii="Arial" w:eastAsia="Times New Roman" w:hAnsi="Arial" w:cs="Arial"/>
          <w:sz w:val="24"/>
          <w:szCs w:val="24"/>
          <w:lang w:eastAsia="de-DE"/>
        </w:rPr>
        <w:br/>
        <w:t>Bitte haben Sie Verständnis d</w:t>
      </w:r>
      <w:r>
        <w:rPr>
          <w:rFonts w:ascii="Arial" w:eastAsia="Times New Roman" w:hAnsi="Arial" w:cs="Arial"/>
          <w:sz w:val="24"/>
          <w:szCs w:val="24"/>
          <w:lang w:eastAsia="de-DE"/>
        </w:rPr>
        <w:t>afür, dass wir etwaige Ihnen mit der Wahrnehmung von Vorstellungsgesprächen verbundene Kosten nicht übernehmen können.</w:t>
      </w:r>
    </w:p>
    <w:p w:rsidR="00BD340F" w:rsidRDefault="004668FE">
      <w:pPr>
        <w:spacing w:before="100" w:beforeAutospacing="1" w:after="100" w:afterAutospacing="1" w:line="240" w:lineRule="auto"/>
        <w:outlineLvl w:val="1"/>
        <w:rPr>
          <w:rFonts w:ascii="Arial" w:eastAsia="Times New Roman" w:hAnsi="Arial" w:cs="Arial"/>
          <w:b/>
          <w:bCs/>
          <w:sz w:val="36"/>
          <w:szCs w:val="36"/>
          <w:lang w:eastAsia="de-DE"/>
        </w:rPr>
      </w:pPr>
      <w:r>
        <w:rPr>
          <w:rFonts w:ascii="Arial" w:eastAsia="Times New Roman" w:hAnsi="Arial" w:cs="Arial"/>
          <w:b/>
          <w:bCs/>
          <w:color w:val="B11756"/>
          <w:sz w:val="36"/>
          <w:szCs w:val="36"/>
          <w:lang w:eastAsia="de-DE"/>
        </w:rPr>
        <w:t>Bewerbung</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Bitte bewerben Sie sich online über das Berliner Karriereprotal unter diesem Link:</w:t>
      </w:r>
    </w:p>
    <w:p w:rsidR="00BD340F" w:rsidRDefault="004668FE">
      <w:pPr>
        <w:spacing w:after="240" w:line="240" w:lineRule="auto"/>
        <w:rPr>
          <w:rFonts w:ascii="Arial" w:eastAsia="Times New Roman" w:hAnsi="Arial" w:cs="Arial"/>
          <w:sz w:val="24"/>
          <w:szCs w:val="24"/>
          <w:lang w:eastAsia="de-DE"/>
        </w:rPr>
      </w:pPr>
      <w:hyperlink r:id="rId7" w:tgtFrame="_blank" w:history="1">
        <w:r>
          <w:rPr>
            <w:rStyle w:val="Hyperlink"/>
            <w:rFonts w:ascii="Arial" w:eastAsia="Times New Roman" w:hAnsi="Arial" w:cs="Arial"/>
            <w:sz w:val="24"/>
            <w:szCs w:val="24"/>
            <w:lang w:eastAsia="de-DE"/>
          </w:rPr>
          <w:t>https://www.berlin.de/karriereportal/stellensuche/leitung-des-sportmuseums-berlin-sowie-des-gruenauer-wasser-de-j16612.html</w:t>
        </w:r>
      </w:hyperlink>
      <w:r>
        <w:rPr>
          <w:rFonts w:ascii="Arial" w:eastAsia="Times New Roman" w:hAnsi="Arial" w:cs="Arial"/>
          <w:sz w:val="24"/>
          <w:szCs w:val="24"/>
          <w:lang w:eastAsia="de-DE"/>
        </w:rPr>
        <w:br/>
      </w:r>
      <w:r>
        <w:rPr>
          <w:rFonts w:ascii="Arial" w:eastAsia="Times New Roman" w:hAnsi="Arial" w:cs="Arial"/>
          <w:sz w:val="24"/>
          <w:szCs w:val="24"/>
          <w:lang w:eastAsia="de-DE"/>
        </w:rPr>
        <w:br/>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Laden Sie </w:t>
      </w:r>
      <w:r>
        <w:rPr>
          <w:rFonts w:ascii="Arial" w:eastAsia="Times New Roman" w:hAnsi="Arial" w:cs="Arial"/>
          <w:sz w:val="24"/>
          <w:szCs w:val="24"/>
          <w:lang w:eastAsia="de-DE"/>
        </w:rPr>
        <w:t>dort mindestens folgende Anlagen hoch:</w:t>
      </w:r>
    </w:p>
    <w:p w:rsidR="00BD340F" w:rsidRDefault="004668FE">
      <w:pPr>
        <w:numPr>
          <w:ilvl w:val="0"/>
          <w:numId w:val="4"/>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Anschreiben</w:t>
      </w:r>
    </w:p>
    <w:p w:rsidR="00BD340F" w:rsidRDefault="004668FE">
      <w:pPr>
        <w:numPr>
          <w:ilvl w:val="0"/>
          <w:numId w:val="4"/>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Lebenslauf mit tabellarischer Tätigkeitsübersicht</w:t>
      </w:r>
    </w:p>
    <w:p w:rsidR="00BD340F" w:rsidRDefault="004668FE">
      <w:pPr>
        <w:numPr>
          <w:ilvl w:val="0"/>
          <w:numId w:val="4"/>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Übersendung eines Bewerbungsfotos ist für den Auswahlprozess nicht erforderlich und erfolgt ggf. freiwillig</w:t>
      </w:r>
    </w:p>
    <w:p w:rsidR="00BD340F" w:rsidRDefault="004668FE">
      <w:pPr>
        <w:numPr>
          <w:ilvl w:val="0"/>
          <w:numId w:val="4"/>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Nachweise der Studien- bzw. Berufsabschlüss</w:t>
      </w:r>
      <w:r>
        <w:rPr>
          <w:rFonts w:ascii="Arial" w:eastAsia="Times New Roman" w:hAnsi="Arial" w:cs="Arial"/>
          <w:sz w:val="24"/>
          <w:szCs w:val="24"/>
          <w:lang w:eastAsia="de-DE"/>
        </w:rPr>
        <w:t>e</w:t>
      </w:r>
    </w:p>
    <w:p w:rsidR="00BD340F" w:rsidRDefault="004668FE">
      <w:pPr>
        <w:numPr>
          <w:ilvl w:val="0"/>
          <w:numId w:val="5"/>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bei Bewerberinnen und Bewerbern, die im öffentlichen Dienst tätig sind, eine Einverständniserklärung zur Personalakteneinsicht (unter Angabe der personalaktenführenden Stelle)</w:t>
      </w:r>
    </w:p>
    <w:p w:rsidR="00BD340F" w:rsidRDefault="004668FE">
      <w:pPr>
        <w:numPr>
          <w:ilvl w:val="0"/>
          <w:numId w:val="6"/>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aktuelle qualifizierte Arbeitszeugnisse</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 xml:space="preserve">Sollte ein entsprechendes Zeugnis </w:t>
      </w:r>
      <w:r>
        <w:rPr>
          <w:rFonts w:ascii="Arial" w:eastAsia="Times New Roman" w:hAnsi="Arial" w:cs="Arial"/>
          <w:sz w:val="24"/>
          <w:szCs w:val="24"/>
          <w:lang w:eastAsia="de-DE"/>
        </w:rPr>
        <w:t>nicht vorliegen, leiten Sie bitte dessen Erstellung ein und weisen Sie hierauf in Ihrem Motivationsschreiben hin.</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t>Bewerbungsfrist</w:t>
      </w:r>
    </w:p>
    <w:p w:rsidR="00BD340F" w:rsidRDefault="004668FE">
      <w:pPr>
        <w:spacing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br/>
        <w:t>27.01.2021</w:t>
      </w:r>
    </w:p>
    <w:p w:rsidR="00BD340F" w:rsidRDefault="004668FE">
      <w:pPr>
        <w:spacing w:before="100" w:beforeAutospacing="1" w:after="100" w:afterAutospacing="1" w:line="240" w:lineRule="auto"/>
        <w:outlineLvl w:val="1"/>
        <w:rPr>
          <w:rFonts w:ascii="Arial" w:eastAsia="Times New Roman" w:hAnsi="Arial" w:cs="Arial"/>
          <w:b/>
          <w:bCs/>
          <w:color w:val="B11756"/>
          <w:sz w:val="36"/>
          <w:szCs w:val="36"/>
          <w:lang w:eastAsia="de-DE"/>
        </w:rPr>
      </w:pPr>
      <w:r>
        <w:rPr>
          <w:rFonts w:ascii="Arial" w:eastAsia="Times New Roman" w:hAnsi="Arial" w:cs="Arial"/>
          <w:b/>
          <w:bCs/>
          <w:color w:val="B11756"/>
          <w:sz w:val="36"/>
          <w:szCs w:val="36"/>
          <w:lang w:eastAsia="de-DE"/>
        </w:rPr>
        <w:lastRenderedPageBreak/>
        <w:t>Ansprechpartner für Ihre Fragen</w:t>
      </w:r>
    </w:p>
    <w:p w:rsidR="00BD340F" w:rsidRDefault="004668F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br/>
        <w:t>Frank Zippel</w:t>
      </w:r>
      <w:r>
        <w:rPr>
          <w:rFonts w:ascii="Arial" w:eastAsia="Times New Roman" w:hAnsi="Arial" w:cs="Arial"/>
          <w:sz w:val="24"/>
          <w:szCs w:val="24"/>
          <w:lang w:eastAsia="de-DE"/>
        </w:rPr>
        <w:br/>
        <w:t>Zentraler Service (Zentrales Bewerbungsbüro)</w:t>
      </w:r>
      <w:r>
        <w:rPr>
          <w:rFonts w:ascii="Arial" w:eastAsia="Times New Roman" w:hAnsi="Arial" w:cs="Arial"/>
          <w:sz w:val="24"/>
          <w:szCs w:val="24"/>
          <w:lang w:eastAsia="de-DE"/>
        </w:rPr>
        <w:br/>
        <w:t>030-90223-2020</w:t>
      </w:r>
    </w:p>
    <w:p w:rsidR="00BD340F" w:rsidRDefault="004668FE">
      <w:pPr>
        <w:ind w:left="-1134"/>
        <w:rPr>
          <w:rFonts w:ascii="Arial" w:hAnsi="Arial" w:cs="Arial"/>
        </w:rPr>
      </w:pPr>
      <w:r>
        <w:rPr>
          <w:rFonts w:ascii="Arial" w:eastAsia="Times New Roman" w:hAnsi="Arial" w:cs="Arial"/>
          <w:noProof/>
          <w:sz w:val="24"/>
          <w:szCs w:val="24"/>
          <w:lang w:eastAsia="de-DE"/>
        </w:rPr>
        <w:drawing>
          <wp:inline distT="0" distB="0" distL="0" distR="0">
            <wp:extent cx="7248525" cy="1296093"/>
            <wp:effectExtent l="0" t="0" r="0" b="0"/>
            <wp:docPr id="3" name="Grafik 3" descr="C:\Users\kl02100\AppData\Local\Microsoft\Windows\INetCache\Content.Word\Footer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l02100\AppData\Local\Microsoft\Windows\INetCache\Content.Word\Footer_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3134" cy="1302281"/>
                    </a:xfrm>
                    <a:prstGeom prst="rect">
                      <a:avLst/>
                    </a:prstGeom>
                    <a:noFill/>
                    <a:ln>
                      <a:noFill/>
                    </a:ln>
                  </pic:spPr>
                </pic:pic>
              </a:graphicData>
            </a:graphic>
          </wp:inline>
        </w:drawing>
      </w:r>
    </w:p>
    <w:sectPr w:rsidR="00BD340F">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CD1"/>
    <w:multiLevelType w:val="multilevel"/>
    <w:tmpl w:val="BE76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73B74"/>
    <w:multiLevelType w:val="multilevel"/>
    <w:tmpl w:val="21E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B138A"/>
    <w:multiLevelType w:val="multilevel"/>
    <w:tmpl w:val="B0D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445BC"/>
    <w:multiLevelType w:val="multilevel"/>
    <w:tmpl w:val="EA6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B67F4"/>
    <w:multiLevelType w:val="multilevel"/>
    <w:tmpl w:val="815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E14C6"/>
    <w:multiLevelType w:val="multilevel"/>
    <w:tmpl w:val="271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0F"/>
    <w:rsid w:val="004668FE"/>
    <w:rsid w:val="00BD3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114">
      <w:bodyDiv w:val="1"/>
      <w:marLeft w:val="0"/>
      <w:marRight w:val="0"/>
      <w:marTop w:val="0"/>
      <w:marBottom w:val="0"/>
      <w:divBdr>
        <w:top w:val="none" w:sz="0" w:space="0" w:color="auto"/>
        <w:left w:val="none" w:sz="0" w:space="0" w:color="auto"/>
        <w:bottom w:val="none" w:sz="0" w:space="0" w:color="auto"/>
        <w:right w:val="none" w:sz="0" w:space="0" w:color="auto"/>
      </w:divBdr>
      <w:divsChild>
        <w:div w:id="766467839">
          <w:marLeft w:val="0"/>
          <w:marRight w:val="0"/>
          <w:marTop w:val="0"/>
          <w:marBottom w:val="0"/>
          <w:divBdr>
            <w:top w:val="none" w:sz="0" w:space="0" w:color="auto"/>
            <w:left w:val="none" w:sz="0" w:space="0" w:color="auto"/>
            <w:bottom w:val="none" w:sz="0" w:space="0" w:color="auto"/>
            <w:right w:val="none" w:sz="0" w:space="0" w:color="auto"/>
          </w:divBdr>
        </w:div>
        <w:div w:id="40399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berlin.de/karriereportal/stellensuche/leitung-des-sportmuseums-berlin-sowie-des-gruenauer-wasser-de-j16612.html?previe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 Bettina</dc:creator>
  <cp:lastModifiedBy>Behrendt</cp:lastModifiedBy>
  <cp:revision>2</cp:revision>
  <dcterms:created xsi:type="dcterms:W3CDTF">2021-01-12T12:13:00Z</dcterms:created>
  <dcterms:modified xsi:type="dcterms:W3CDTF">2021-01-12T12:13:00Z</dcterms:modified>
</cp:coreProperties>
</file>