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4E1" w:rsidRPr="00C16383" w:rsidRDefault="003354E1" w:rsidP="007C7587">
      <w:pPr>
        <w:spacing w:after="0"/>
        <w:ind w:right="-426" w:firstLine="284"/>
        <w:jc w:val="center"/>
        <w:rPr>
          <w:rFonts w:ascii="Garamond" w:hAnsi="Garamond"/>
          <w:color w:val="4472C4" w:themeColor="accent1"/>
          <w:sz w:val="36"/>
          <w:szCs w:val="36"/>
        </w:rPr>
      </w:pPr>
      <w:r w:rsidRPr="00C16383">
        <w:rPr>
          <w:rFonts w:ascii="Garamond" w:hAnsi="Garamond"/>
          <w:color w:val="4472C4" w:themeColor="accent1"/>
          <w:sz w:val="36"/>
          <w:szCs w:val="36"/>
        </w:rPr>
        <w:t>Appel à communication</w:t>
      </w:r>
    </w:p>
    <w:p w:rsidR="000C370B" w:rsidRPr="00C16383" w:rsidRDefault="000C370B" w:rsidP="007C7587">
      <w:pPr>
        <w:spacing w:after="0"/>
        <w:ind w:left="-567" w:right="-426" w:firstLine="284"/>
        <w:jc w:val="center"/>
        <w:rPr>
          <w:rFonts w:ascii="Garamond" w:hAnsi="Garamond"/>
          <w:b/>
          <w:color w:val="4472C4" w:themeColor="accent1"/>
          <w:sz w:val="24"/>
          <w:szCs w:val="24"/>
        </w:rPr>
      </w:pPr>
    </w:p>
    <w:p w:rsidR="003354E1" w:rsidRPr="00C16383" w:rsidRDefault="003354E1" w:rsidP="007C7587">
      <w:pPr>
        <w:spacing w:after="0"/>
        <w:ind w:left="-567" w:right="-426" w:firstLine="284"/>
        <w:jc w:val="center"/>
        <w:rPr>
          <w:rFonts w:ascii="Garamond" w:hAnsi="Garamond"/>
          <w:b/>
          <w:i/>
          <w:color w:val="4472C4" w:themeColor="accent1"/>
          <w:sz w:val="36"/>
        </w:rPr>
      </w:pPr>
      <w:r w:rsidRPr="00C16383">
        <w:rPr>
          <w:rFonts w:ascii="Garamond" w:hAnsi="Garamond"/>
          <w:b/>
          <w:i/>
          <w:color w:val="4472C4" w:themeColor="accent1"/>
          <w:sz w:val="36"/>
        </w:rPr>
        <w:t>Portraits et représentations des anciens Pays-Bas</w:t>
      </w:r>
    </w:p>
    <w:p w:rsidR="003354E1" w:rsidRPr="00C16383" w:rsidRDefault="003354E1" w:rsidP="007C7587">
      <w:pPr>
        <w:ind w:left="-567" w:right="-426" w:firstLine="284"/>
        <w:jc w:val="center"/>
        <w:rPr>
          <w:rFonts w:ascii="Garamond" w:hAnsi="Garamond"/>
          <w:b/>
          <w:i/>
          <w:color w:val="4472C4" w:themeColor="accent1"/>
          <w:sz w:val="36"/>
        </w:rPr>
      </w:pPr>
      <w:r w:rsidRPr="00C16383">
        <w:rPr>
          <w:rFonts w:ascii="Garamond" w:hAnsi="Garamond"/>
          <w:b/>
          <w:i/>
          <w:color w:val="4472C4" w:themeColor="accent1"/>
          <w:sz w:val="36"/>
        </w:rPr>
        <w:t>(</w:t>
      </w:r>
      <w:proofErr w:type="spellStart"/>
      <w:r w:rsidRPr="00C16383">
        <w:rPr>
          <w:rFonts w:ascii="Garamond" w:hAnsi="Garamond"/>
          <w:b/>
          <w:i/>
          <w:smallCaps/>
          <w:color w:val="4472C4" w:themeColor="accent1"/>
          <w:sz w:val="36"/>
        </w:rPr>
        <w:t>xvi</w:t>
      </w:r>
      <w:r w:rsidRPr="00C16383">
        <w:rPr>
          <w:rFonts w:ascii="Garamond" w:hAnsi="Garamond"/>
          <w:b/>
          <w:i/>
          <w:color w:val="4472C4" w:themeColor="accent1"/>
          <w:sz w:val="36"/>
          <w:vertAlign w:val="superscript"/>
        </w:rPr>
        <w:t>e</w:t>
      </w:r>
      <w:r w:rsidRPr="00C16383">
        <w:rPr>
          <w:rFonts w:ascii="Garamond" w:hAnsi="Garamond"/>
          <w:b/>
          <w:i/>
          <w:color w:val="4472C4" w:themeColor="accent1"/>
          <w:sz w:val="36"/>
        </w:rPr>
        <w:t>-</w:t>
      </w:r>
      <w:r w:rsidRPr="00C16383">
        <w:rPr>
          <w:rFonts w:ascii="Garamond" w:hAnsi="Garamond"/>
          <w:b/>
          <w:i/>
          <w:smallCaps/>
          <w:color w:val="4472C4" w:themeColor="accent1"/>
          <w:sz w:val="36"/>
        </w:rPr>
        <w:t>xvii</w:t>
      </w:r>
      <w:r w:rsidRPr="00C16383">
        <w:rPr>
          <w:rFonts w:ascii="Garamond" w:hAnsi="Garamond"/>
          <w:b/>
          <w:i/>
          <w:color w:val="4472C4" w:themeColor="accent1"/>
          <w:sz w:val="36"/>
          <w:vertAlign w:val="superscript"/>
        </w:rPr>
        <w:t>e</w:t>
      </w:r>
      <w:proofErr w:type="spellEnd"/>
      <w:r w:rsidRPr="00C16383">
        <w:rPr>
          <w:rFonts w:ascii="Garamond" w:hAnsi="Garamond"/>
          <w:b/>
          <w:i/>
          <w:color w:val="4472C4" w:themeColor="accent1"/>
          <w:sz w:val="36"/>
          <w:vertAlign w:val="superscript"/>
        </w:rPr>
        <w:t xml:space="preserve"> </w:t>
      </w:r>
      <w:r w:rsidRPr="00C16383">
        <w:rPr>
          <w:rFonts w:ascii="Garamond" w:hAnsi="Garamond"/>
          <w:b/>
          <w:i/>
          <w:color w:val="4472C4" w:themeColor="accent1"/>
          <w:sz w:val="36"/>
        </w:rPr>
        <w:t>siècles)</w:t>
      </w:r>
    </w:p>
    <w:p w:rsidR="000C370B" w:rsidRDefault="00C16383" w:rsidP="007C7587">
      <w:pPr>
        <w:ind w:left="-567" w:right="-426" w:firstLine="284"/>
        <w:jc w:val="center"/>
        <w:rPr>
          <w:rFonts w:ascii="Garamond" w:hAnsi="Garamond"/>
          <w:b/>
          <w:color w:val="2E74B5" w:themeColor="accent5" w:themeShade="BF"/>
          <w:sz w:val="36"/>
        </w:rPr>
      </w:pPr>
      <w:r w:rsidRPr="00C16383">
        <w:rPr>
          <w:rFonts w:ascii="Garamond" w:hAnsi="Garamond"/>
          <w:b/>
          <w:color w:val="2E74B5" w:themeColor="accent5" w:themeShade="BF"/>
          <w:sz w:val="36"/>
        </w:rPr>
        <w:t>Jeudi 8 et vendredi 9 novembre 2018</w:t>
      </w:r>
    </w:p>
    <w:p w:rsidR="00C16383" w:rsidRPr="00C16383" w:rsidRDefault="00C16383" w:rsidP="00C16383">
      <w:pPr>
        <w:spacing w:after="0"/>
        <w:ind w:left="-567" w:right="-426" w:firstLine="284"/>
        <w:jc w:val="center"/>
        <w:rPr>
          <w:rFonts w:ascii="Garamond" w:hAnsi="Garamond"/>
          <w:color w:val="4472C4" w:themeColor="accent1"/>
          <w:sz w:val="32"/>
          <w:szCs w:val="32"/>
        </w:rPr>
      </w:pPr>
      <w:r w:rsidRPr="00C16383">
        <w:rPr>
          <w:rFonts w:ascii="Garamond" w:hAnsi="Garamond"/>
          <w:color w:val="4472C4" w:themeColor="accent1"/>
          <w:sz w:val="32"/>
          <w:szCs w:val="32"/>
        </w:rPr>
        <w:t>Centre de recherche et d’Études Histoire et Sociétés (CREHS)</w:t>
      </w:r>
    </w:p>
    <w:p w:rsidR="00C16383" w:rsidRPr="00C16383" w:rsidRDefault="00C16383" w:rsidP="00C16383">
      <w:pPr>
        <w:spacing w:after="0"/>
        <w:ind w:right="-426" w:firstLine="284"/>
        <w:jc w:val="center"/>
        <w:rPr>
          <w:rFonts w:ascii="Garamond" w:hAnsi="Garamond"/>
          <w:b/>
          <w:color w:val="4472C4" w:themeColor="accent1"/>
          <w:sz w:val="32"/>
          <w:szCs w:val="32"/>
        </w:rPr>
      </w:pPr>
      <w:r w:rsidRPr="00C16383">
        <w:rPr>
          <w:rFonts w:ascii="Garamond" w:hAnsi="Garamond"/>
          <w:color w:val="4472C4" w:themeColor="accent1"/>
          <w:sz w:val="32"/>
          <w:szCs w:val="32"/>
        </w:rPr>
        <w:t>Université d’Artois (Arras)</w:t>
      </w:r>
    </w:p>
    <w:p w:rsidR="00C16383" w:rsidRDefault="00C16383" w:rsidP="007C7587">
      <w:pPr>
        <w:ind w:left="-567" w:right="-426" w:firstLine="284"/>
        <w:jc w:val="center"/>
        <w:rPr>
          <w:rFonts w:ascii="Garamond" w:hAnsi="Garamond"/>
          <w:b/>
          <w:color w:val="2E74B5" w:themeColor="accent5" w:themeShade="BF"/>
          <w:sz w:val="36"/>
        </w:rPr>
      </w:pPr>
    </w:p>
    <w:p w:rsidR="007C7587" w:rsidRPr="007C7587" w:rsidRDefault="003354E1" w:rsidP="007C7587">
      <w:pPr>
        <w:ind w:left="-567" w:right="-426" w:firstLine="284"/>
        <w:jc w:val="both"/>
        <w:rPr>
          <w:rFonts w:ascii="Garamond" w:hAnsi="Garamond" w:cs="Times New Roman"/>
          <w:sz w:val="24"/>
        </w:rPr>
      </w:pPr>
      <w:r w:rsidRPr="003354E1">
        <w:rPr>
          <w:rFonts w:ascii="Garamond" w:hAnsi="Garamond" w:cs="Times New Roman"/>
          <w:sz w:val="24"/>
        </w:rPr>
        <w:t>Le programme</w:t>
      </w:r>
      <w:r>
        <w:rPr>
          <w:rFonts w:ascii="Garamond" w:hAnsi="Garamond" w:cs="Times New Roman"/>
          <w:sz w:val="24"/>
        </w:rPr>
        <w:t xml:space="preserve"> de recherche pluridisciplinaire </w:t>
      </w:r>
      <w:r w:rsidRPr="003354E1">
        <w:rPr>
          <w:rFonts w:ascii="Garamond" w:hAnsi="Garamond" w:cs="Times New Roman"/>
          <w:i/>
          <w:sz w:val="24"/>
        </w:rPr>
        <w:t>La Renaissance</w:t>
      </w:r>
      <w:r>
        <w:rPr>
          <w:rFonts w:ascii="Garamond" w:hAnsi="Garamond" w:cs="Times New Roman"/>
          <w:i/>
          <w:sz w:val="24"/>
        </w:rPr>
        <w:t xml:space="preserve"> dans les Provinces du Nord </w:t>
      </w:r>
      <w:r w:rsidR="007C7587">
        <w:rPr>
          <w:rFonts w:ascii="Garamond" w:hAnsi="Garamond" w:cs="Times New Roman"/>
          <w:sz w:val="24"/>
        </w:rPr>
        <w:t xml:space="preserve">a été </w:t>
      </w:r>
      <w:r>
        <w:rPr>
          <w:rFonts w:ascii="Garamond" w:hAnsi="Garamond" w:cs="Times New Roman"/>
          <w:sz w:val="24"/>
        </w:rPr>
        <w:t>lancé en 2015</w:t>
      </w:r>
      <w:r w:rsidR="007C7587">
        <w:rPr>
          <w:rFonts w:ascii="Garamond" w:hAnsi="Garamond" w:cs="Times New Roman"/>
          <w:sz w:val="24"/>
        </w:rPr>
        <w:t xml:space="preserve">. Son </w:t>
      </w:r>
      <w:r w:rsidR="00C659E8">
        <w:rPr>
          <w:rFonts w:ascii="Garamond" w:hAnsi="Garamond" w:cs="Times New Roman"/>
          <w:sz w:val="24"/>
        </w:rPr>
        <w:t xml:space="preserve">objectif </w:t>
      </w:r>
      <w:r w:rsidR="007C7587">
        <w:rPr>
          <w:rFonts w:ascii="Garamond" w:hAnsi="Garamond" w:cs="Times New Roman"/>
          <w:sz w:val="24"/>
        </w:rPr>
        <w:t xml:space="preserve">est </w:t>
      </w:r>
      <w:r w:rsidR="00C659E8">
        <w:rPr>
          <w:rFonts w:ascii="Garamond" w:hAnsi="Garamond" w:cs="Times New Roman"/>
          <w:sz w:val="24"/>
        </w:rPr>
        <w:t>d’étudie</w:t>
      </w:r>
      <w:r w:rsidR="007C7587">
        <w:rPr>
          <w:rFonts w:ascii="Garamond" w:hAnsi="Garamond" w:cs="Times New Roman"/>
          <w:sz w:val="24"/>
        </w:rPr>
        <w:t>r –</w:t>
      </w:r>
      <w:r w:rsidR="00C659E8">
        <w:rPr>
          <w:rFonts w:ascii="Garamond" w:hAnsi="Garamond" w:cs="Times New Roman"/>
          <w:sz w:val="24"/>
        </w:rPr>
        <w:t xml:space="preserve"> en croisant la diversité des sources, approches et thématiques</w:t>
      </w:r>
      <w:r w:rsidR="007C7587">
        <w:rPr>
          <w:rFonts w:ascii="Garamond" w:hAnsi="Garamond" w:cs="Times New Roman"/>
          <w:sz w:val="24"/>
        </w:rPr>
        <w:t xml:space="preserve"> –</w:t>
      </w:r>
      <w:r w:rsidR="00C659E8">
        <w:rPr>
          <w:rFonts w:ascii="Garamond" w:hAnsi="Garamond" w:cs="Times New Roman"/>
          <w:sz w:val="24"/>
        </w:rPr>
        <w:t xml:space="preserve"> la singularité des provinces septentrionales de la France et celles des anciens Pays-Bas (Artois, Brabant, Flandre, Hainaut, Picardie)</w:t>
      </w:r>
      <w:r w:rsidR="007C7587">
        <w:rPr>
          <w:rFonts w:ascii="Garamond" w:hAnsi="Garamond" w:cs="Times New Roman"/>
          <w:sz w:val="24"/>
        </w:rPr>
        <w:t>,</w:t>
      </w:r>
      <w:r w:rsidR="00C659E8">
        <w:rPr>
          <w:rFonts w:ascii="Garamond" w:hAnsi="Garamond" w:cs="Times New Roman"/>
          <w:sz w:val="24"/>
        </w:rPr>
        <w:t xml:space="preserve"> carrefour d’influences et creuset artistique, à une époque à la fois d’intenses conflits politiques et religieux, mais aussi de foisonnement culturel, celle de la Renaissance considérée sur le temps long de la fin </w:t>
      </w:r>
      <w:proofErr w:type="spellStart"/>
      <w:r w:rsidR="00C659E8" w:rsidRPr="00C659E8">
        <w:rPr>
          <w:rFonts w:ascii="Garamond" w:hAnsi="Garamond" w:cs="Times New Roman"/>
          <w:smallCaps/>
          <w:sz w:val="24"/>
        </w:rPr>
        <w:t>xv</w:t>
      </w:r>
      <w:r w:rsidR="00C659E8" w:rsidRPr="00C659E8">
        <w:rPr>
          <w:rFonts w:ascii="Garamond" w:hAnsi="Garamond" w:cs="Times New Roman"/>
          <w:sz w:val="24"/>
          <w:vertAlign w:val="superscript"/>
        </w:rPr>
        <w:t>e</w:t>
      </w:r>
      <w:proofErr w:type="spellEnd"/>
      <w:r w:rsidR="00C659E8">
        <w:rPr>
          <w:rFonts w:ascii="Garamond" w:hAnsi="Garamond" w:cs="Times New Roman"/>
          <w:sz w:val="24"/>
        </w:rPr>
        <w:t xml:space="preserve"> au milieu du </w:t>
      </w:r>
      <w:proofErr w:type="spellStart"/>
      <w:r w:rsidR="00C659E8" w:rsidRPr="00C659E8">
        <w:rPr>
          <w:rFonts w:ascii="Garamond" w:hAnsi="Garamond" w:cs="Times New Roman"/>
          <w:smallCaps/>
          <w:sz w:val="24"/>
        </w:rPr>
        <w:t>xvii</w:t>
      </w:r>
      <w:r w:rsidR="00C659E8" w:rsidRPr="00C659E8">
        <w:rPr>
          <w:rFonts w:ascii="Garamond" w:hAnsi="Garamond" w:cs="Times New Roman"/>
          <w:sz w:val="24"/>
          <w:vertAlign w:val="superscript"/>
        </w:rPr>
        <w:t>e</w:t>
      </w:r>
      <w:proofErr w:type="spellEnd"/>
      <w:r w:rsidR="00C659E8" w:rsidRPr="00C659E8">
        <w:rPr>
          <w:rFonts w:ascii="Garamond" w:hAnsi="Garamond" w:cs="Times New Roman"/>
          <w:sz w:val="24"/>
          <w:vertAlign w:val="superscript"/>
        </w:rPr>
        <w:t xml:space="preserve"> </w:t>
      </w:r>
      <w:r w:rsidR="00C659E8">
        <w:rPr>
          <w:rFonts w:ascii="Garamond" w:hAnsi="Garamond" w:cs="Times New Roman"/>
          <w:sz w:val="24"/>
        </w:rPr>
        <w:t>siècle.</w:t>
      </w:r>
      <w:r w:rsidR="00B1680C">
        <w:rPr>
          <w:rFonts w:ascii="Garamond" w:hAnsi="Garamond" w:cs="Times New Roman"/>
          <w:sz w:val="24"/>
        </w:rPr>
        <w:t xml:space="preserve"> </w:t>
      </w:r>
      <w:r w:rsidR="00C659E8">
        <w:rPr>
          <w:rFonts w:ascii="Garamond" w:hAnsi="Garamond" w:cs="Times New Roman"/>
          <w:sz w:val="24"/>
        </w:rPr>
        <w:t xml:space="preserve">Trois journées d’études ont déjà eu lieu </w:t>
      </w:r>
      <w:r w:rsidR="00B1680C">
        <w:rPr>
          <w:rFonts w:ascii="Garamond" w:hAnsi="Garamond" w:cs="Times New Roman"/>
          <w:sz w:val="24"/>
        </w:rPr>
        <w:t xml:space="preserve">en </w:t>
      </w:r>
      <w:r w:rsidR="00C659E8">
        <w:rPr>
          <w:rFonts w:ascii="Garamond" w:hAnsi="Garamond" w:cs="Times New Roman"/>
          <w:sz w:val="24"/>
        </w:rPr>
        <w:t>novembre 2015, 2016</w:t>
      </w:r>
      <w:r w:rsidR="00B1680C">
        <w:rPr>
          <w:rFonts w:ascii="Garamond" w:hAnsi="Garamond" w:cs="Times New Roman"/>
          <w:sz w:val="24"/>
        </w:rPr>
        <w:t xml:space="preserve"> et</w:t>
      </w:r>
      <w:r w:rsidR="00C659E8">
        <w:rPr>
          <w:rFonts w:ascii="Garamond" w:hAnsi="Garamond" w:cs="Times New Roman"/>
          <w:sz w:val="24"/>
        </w:rPr>
        <w:t xml:space="preserve"> 2017</w:t>
      </w:r>
      <w:r w:rsidR="00B1680C">
        <w:rPr>
          <w:rFonts w:ascii="Garamond" w:hAnsi="Garamond" w:cs="Times New Roman"/>
          <w:sz w:val="24"/>
        </w:rPr>
        <w:t> : la</w:t>
      </w:r>
      <w:r w:rsidR="00C659E8">
        <w:rPr>
          <w:rFonts w:ascii="Garamond" w:hAnsi="Garamond" w:cs="Times New Roman"/>
          <w:sz w:val="24"/>
        </w:rPr>
        <w:t xml:space="preserve"> première a permis de mettre en place un groupe de travail réunissant différents acteurs de la recherche sur la Renaissance dans les provinces du nord (enseignants-chercheurs, chercheurs, doctorants, post-doctorants, conservateurs du patrimoine dans les musées et les bibliothèques)</w:t>
      </w:r>
      <w:r w:rsidR="00B1680C">
        <w:rPr>
          <w:rFonts w:ascii="Garamond" w:hAnsi="Garamond" w:cs="Times New Roman"/>
          <w:sz w:val="24"/>
        </w:rPr>
        <w:t xml:space="preserve"> ; les deux suivantes furent consacrées l’une </w:t>
      </w:r>
      <w:r w:rsidR="00C659E8">
        <w:rPr>
          <w:rFonts w:ascii="Garamond" w:hAnsi="Garamond" w:cs="Times New Roman"/>
          <w:sz w:val="24"/>
        </w:rPr>
        <w:t xml:space="preserve">aux </w:t>
      </w:r>
      <w:r w:rsidR="00C659E8" w:rsidRPr="00C659E8">
        <w:rPr>
          <w:rFonts w:ascii="Garamond" w:hAnsi="Garamond" w:cs="Times New Roman"/>
          <w:i/>
          <w:sz w:val="24"/>
        </w:rPr>
        <w:t>Échanges, hybridité et créativité</w:t>
      </w:r>
      <w:r w:rsidR="00C659E8">
        <w:rPr>
          <w:rFonts w:ascii="Garamond" w:hAnsi="Garamond" w:cs="Times New Roman"/>
          <w:sz w:val="24"/>
        </w:rPr>
        <w:t>, l</w:t>
      </w:r>
      <w:r w:rsidR="00B1680C">
        <w:rPr>
          <w:rFonts w:ascii="Garamond" w:hAnsi="Garamond" w:cs="Times New Roman"/>
          <w:sz w:val="24"/>
        </w:rPr>
        <w:t xml:space="preserve">’autre </w:t>
      </w:r>
      <w:r w:rsidR="00C659E8">
        <w:rPr>
          <w:rFonts w:ascii="Garamond" w:hAnsi="Garamond" w:cs="Times New Roman"/>
          <w:sz w:val="24"/>
        </w:rPr>
        <w:t xml:space="preserve">aux </w:t>
      </w:r>
      <w:r w:rsidR="00C659E8" w:rsidRPr="00C659E8">
        <w:rPr>
          <w:rFonts w:ascii="Garamond" w:hAnsi="Garamond" w:cs="Times New Roman"/>
          <w:i/>
          <w:sz w:val="24"/>
        </w:rPr>
        <w:t>Réformes religieuses.</w:t>
      </w:r>
      <w:r w:rsidR="007C7587">
        <w:rPr>
          <w:rFonts w:ascii="Garamond" w:hAnsi="Garamond" w:cs="Times New Roman"/>
          <w:i/>
          <w:sz w:val="24"/>
        </w:rPr>
        <w:t xml:space="preserve"> </w:t>
      </w:r>
      <w:r w:rsidR="007C7587" w:rsidRPr="007C7587">
        <w:rPr>
          <w:rFonts w:ascii="Garamond" w:hAnsi="Garamond" w:cs="Times New Roman"/>
          <w:sz w:val="24"/>
        </w:rPr>
        <w:t>La prochaine rencontre</w:t>
      </w:r>
      <w:r w:rsidR="007C7587">
        <w:rPr>
          <w:rFonts w:ascii="Garamond" w:hAnsi="Garamond" w:cs="Times New Roman"/>
          <w:sz w:val="24"/>
        </w:rPr>
        <w:t xml:space="preserve"> (8-9 novembre 2018) sera consacrée aux</w:t>
      </w:r>
      <w:r w:rsidR="007C7587">
        <w:rPr>
          <w:rFonts w:ascii="Garamond" w:hAnsi="Garamond" w:cs="Times New Roman"/>
          <w:i/>
          <w:sz w:val="24"/>
        </w:rPr>
        <w:t xml:space="preserve"> Portraits et représentations des anciens Pays-Bas</w:t>
      </w:r>
      <w:r w:rsidR="007C7587">
        <w:rPr>
          <w:rFonts w:ascii="Garamond" w:hAnsi="Garamond" w:cs="Times New Roman"/>
          <w:sz w:val="24"/>
        </w:rPr>
        <w:t xml:space="preserve">. </w:t>
      </w:r>
    </w:p>
    <w:p w:rsidR="00532C23" w:rsidRDefault="00532C23" w:rsidP="007C7587">
      <w:pPr>
        <w:spacing w:after="0"/>
        <w:ind w:left="-567" w:right="-426" w:firstLine="284"/>
        <w:jc w:val="center"/>
        <w:rPr>
          <w:rFonts w:ascii="Garamond" w:hAnsi="Garamond" w:cs="Times New Roman"/>
          <w:sz w:val="24"/>
        </w:rPr>
      </w:pPr>
      <w:r>
        <w:rPr>
          <w:rFonts w:ascii="Garamond" w:hAnsi="Garamond" w:cs="Times New Roman"/>
          <w:sz w:val="24"/>
        </w:rPr>
        <w:t>*</w:t>
      </w:r>
    </w:p>
    <w:p w:rsidR="00532C23" w:rsidRDefault="00532C23" w:rsidP="007C7587">
      <w:pPr>
        <w:ind w:left="-567" w:right="-426" w:firstLine="284"/>
        <w:jc w:val="center"/>
        <w:rPr>
          <w:rFonts w:ascii="Garamond" w:hAnsi="Garamond" w:cs="Times New Roman"/>
          <w:i/>
          <w:sz w:val="24"/>
        </w:rPr>
      </w:pPr>
      <w:r>
        <w:rPr>
          <w:rFonts w:ascii="Garamond" w:hAnsi="Garamond" w:cs="Times New Roman"/>
          <w:i/>
          <w:sz w:val="24"/>
        </w:rPr>
        <w:t>*      *</w:t>
      </w:r>
    </w:p>
    <w:p w:rsidR="000C370B" w:rsidRDefault="00873D80" w:rsidP="007C7587">
      <w:pPr>
        <w:ind w:left="-567" w:right="-426" w:firstLine="284"/>
        <w:jc w:val="both"/>
        <w:rPr>
          <w:rFonts w:ascii="Garamond" w:hAnsi="Garamond" w:cs="Times New Roman"/>
          <w:sz w:val="24"/>
        </w:rPr>
      </w:pPr>
      <w:r>
        <w:rPr>
          <w:rFonts w:ascii="Garamond" w:hAnsi="Garamond" w:cs="Times New Roman"/>
          <w:sz w:val="24"/>
        </w:rPr>
        <w:t>À une époque où les dimensions du monde connu s’élargissent, où l</w:t>
      </w:r>
      <w:r w:rsidR="00566D15">
        <w:rPr>
          <w:rFonts w:ascii="Garamond" w:hAnsi="Garamond" w:cs="Times New Roman"/>
          <w:sz w:val="24"/>
        </w:rPr>
        <w:t>es théories de la perspective se répandent, où, parallèlement, l</w:t>
      </w:r>
      <w:r>
        <w:rPr>
          <w:rFonts w:ascii="Garamond" w:hAnsi="Garamond" w:cs="Times New Roman"/>
          <w:sz w:val="24"/>
        </w:rPr>
        <w:t xml:space="preserve">a science optique se développe et crée de nouveaux instruments de mesure </w:t>
      </w:r>
      <w:r w:rsidR="00566D15">
        <w:rPr>
          <w:rFonts w:ascii="Garamond" w:hAnsi="Garamond" w:cs="Times New Roman"/>
          <w:sz w:val="24"/>
        </w:rPr>
        <w:t xml:space="preserve">profitant à la cartographie, </w:t>
      </w:r>
      <w:r>
        <w:rPr>
          <w:rFonts w:ascii="Garamond" w:hAnsi="Garamond" w:cs="Times New Roman"/>
          <w:sz w:val="24"/>
        </w:rPr>
        <w:t>n</w:t>
      </w:r>
      <w:r w:rsidR="003665AC">
        <w:rPr>
          <w:rFonts w:ascii="Garamond" w:hAnsi="Garamond" w:cs="Times New Roman"/>
          <w:sz w:val="24"/>
        </w:rPr>
        <w:t xml:space="preserve">ous proposons </w:t>
      </w:r>
      <w:r w:rsidR="00CB480D">
        <w:rPr>
          <w:rFonts w:ascii="Garamond" w:hAnsi="Garamond" w:cs="Times New Roman"/>
          <w:sz w:val="24"/>
        </w:rPr>
        <w:t xml:space="preserve">d’interroger </w:t>
      </w:r>
      <w:r w:rsidR="003665AC">
        <w:rPr>
          <w:rFonts w:ascii="Garamond" w:hAnsi="Garamond" w:cs="Times New Roman"/>
          <w:sz w:val="24"/>
        </w:rPr>
        <w:t xml:space="preserve">les </w:t>
      </w:r>
      <w:r w:rsidR="003665AC" w:rsidRPr="003665AC">
        <w:rPr>
          <w:rFonts w:ascii="Garamond" w:hAnsi="Garamond" w:cs="Times New Roman"/>
          <w:i/>
          <w:sz w:val="24"/>
        </w:rPr>
        <w:t>Portraits et représentations des anciens Pays-Bas</w:t>
      </w:r>
      <w:r w:rsidR="00731899">
        <w:rPr>
          <w:rFonts w:ascii="Garamond" w:hAnsi="Garamond" w:cs="Times New Roman"/>
          <w:i/>
          <w:sz w:val="24"/>
        </w:rPr>
        <w:t xml:space="preserve"> </w:t>
      </w:r>
      <w:r w:rsidR="00731899">
        <w:rPr>
          <w:rFonts w:ascii="Garamond" w:hAnsi="Garamond" w:cs="Times New Roman"/>
          <w:sz w:val="24"/>
        </w:rPr>
        <w:t xml:space="preserve">(villes et campagnes) </w:t>
      </w:r>
      <w:r w:rsidR="003665AC">
        <w:rPr>
          <w:rFonts w:ascii="Garamond" w:hAnsi="Garamond" w:cs="Times New Roman"/>
          <w:sz w:val="24"/>
        </w:rPr>
        <w:t>qui recouvrent bien des domaines</w:t>
      </w:r>
      <w:r w:rsidR="00051624">
        <w:rPr>
          <w:rFonts w:ascii="Garamond" w:hAnsi="Garamond" w:cs="Times New Roman"/>
          <w:sz w:val="24"/>
        </w:rPr>
        <w:t xml:space="preserve"> et une multitude de formes</w:t>
      </w:r>
      <w:r w:rsidR="000C370B">
        <w:rPr>
          <w:rFonts w:ascii="Garamond" w:hAnsi="Garamond" w:cs="Times New Roman"/>
          <w:sz w:val="24"/>
        </w:rPr>
        <w:t xml:space="preserve">. </w:t>
      </w:r>
    </w:p>
    <w:p w:rsidR="000C370B" w:rsidRPr="000C370B" w:rsidRDefault="000C370B" w:rsidP="007C7587">
      <w:pPr>
        <w:ind w:left="-567" w:right="-426" w:firstLine="284"/>
        <w:jc w:val="both"/>
        <w:rPr>
          <w:rFonts w:ascii="Garamond" w:hAnsi="Garamond" w:cs="Times New Roman"/>
          <w:b/>
          <w:i/>
          <w:sz w:val="24"/>
        </w:rPr>
      </w:pPr>
      <w:r w:rsidRPr="000C370B">
        <w:rPr>
          <w:rFonts w:ascii="Garamond" w:hAnsi="Garamond" w:cs="Times New Roman"/>
          <w:b/>
          <w:i/>
          <w:sz w:val="24"/>
        </w:rPr>
        <w:t>Topographie</w:t>
      </w:r>
      <w:r w:rsidR="00532C23">
        <w:rPr>
          <w:rFonts w:ascii="Garamond" w:hAnsi="Garamond" w:cs="Times New Roman"/>
          <w:b/>
          <w:i/>
          <w:sz w:val="24"/>
        </w:rPr>
        <w:t> :</w:t>
      </w:r>
      <w:r w:rsidRPr="000C370B">
        <w:rPr>
          <w:rFonts w:ascii="Garamond" w:hAnsi="Garamond" w:cs="Times New Roman"/>
          <w:b/>
          <w:i/>
          <w:sz w:val="24"/>
        </w:rPr>
        <w:t xml:space="preserve"> représentations militaires et sièges de villes, campagne et paysage</w:t>
      </w:r>
    </w:p>
    <w:p w:rsidR="0091688C" w:rsidRDefault="00A45FDF" w:rsidP="007C7587">
      <w:pPr>
        <w:ind w:left="-567" w:right="-426" w:firstLine="284"/>
        <w:jc w:val="both"/>
        <w:rPr>
          <w:rFonts w:ascii="Garamond" w:hAnsi="Garamond" w:cs="Times New Roman"/>
          <w:sz w:val="24"/>
        </w:rPr>
      </w:pPr>
      <w:r>
        <w:rPr>
          <w:rFonts w:ascii="Garamond" w:hAnsi="Garamond" w:cs="Times New Roman"/>
          <w:sz w:val="24"/>
        </w:rPr>
        <w:t>Le</w:t>
      </w:r>
      <w:r w:rsidR="003665AC">
        <w:rPr>
          <w:rFonts w:ascii="Garamond" w:hAnsi="Garamond" w:cs="Times New Roman"/>
          <w:sz w:val="24"/>
        </w:rPr>
        <w:t xml:space="preserve"> « </w:t>
      </w:r>
      <w:proofErr w:type="spellStart"/>
      <w:r w:rsidR="003665AC">
        <w:rPr>
          <w:rFonts w:ascii="Garamond" w:hAnsi="Garamond" w:cs="Times New Roman"/>
          <w:sz w:val="24"/>
        </w:rPr>
        <w:t>pourtraict</w:t>
      </w:r>
      <w:proofErr w:type="spellEnd"/>
      <w:r w:rsidR="00D9792F">
        <w:rPr>
          <w:rFonts w:ascii="Garamond" w:hAnsi="Garamond" w:cs="Times New Roman"/>
          <w:sz w:val="24"/>
        </w:rPr>
        <w:t> » des villes, que commande</w:t>
      </w:r>
      <w:r w:rsidR="00566D15">
        <w:rPr>
          <w:rFonts w:ascii="Garamond" w:hAnsi="Garamond" w:cs="Times New Roman"/>
          <w:sz w:val="24"/>
        </w:rPr>
        <w:t>nt</w:t>
      </w:r>
      <w:r w:rsidR="00D9792F">
        <w:rPr>
          <w:rFonts w:ascii="Garamond" w:hAnsi="Garamond" w:cs="Times New Roman"/>
          <w:sz w:val="24"/>
        </w:rPr>
        <w:t xml:space="preserve"> les échevins pour leur salle d’assemblée</w:t>
      </w:r>
      <w:r w:rsidR="00CB480D">
        <w:rPr>
          <w:rFonts w:ascii="Garamond" w:hAnsi="Garamond" w:cs="Times New Roman"/>
          <w:sz w:val="24"/>
        </w:rPr>
        <w:t xml:space="preserve">, </w:t>
      </w:r>
      <w:r w:rsidR="00566D15">
        <w:rPr>
          <w:rFonts w:ascii="Garamond" w:hAnsi="Garamond" w:cs="Times New Roman"/>
          <w:sz w:val="24"/>
        </w:rPr>
        <w:t xml:space="preserve">comme </w:t>
      </w:r>
      <w:r w:rsidR="00CB480D">
        <w:rPr>
          <w:rFonts w:ascii="Garamond" w:hAnsi="Garamond" w:cs="Times New Roman"/>
          <w:sz w:val="24"/>
        </w:rPr>
        <w:t>celui des sites (</w:t>
      </w:r>
      <w:r w:rsidR="00CB480D" w:rsidRPr="00CB480D">
        <w:rPr>
          <w:rFonts w:ascii="Garamond" w:hAnsi="Garamond" w:cs="Times New Roman"/>
          <w:i/>
          <w:sz w:val="24"/>
        </w:rPr>
        <w:t>Albums</w:t>
      </w:r>
      <w:r w:rsidR="00CB480D">
        <w:rPr>
          <w:rFonts w:ascii="Garamond" w:hAnsi="Garamond" w:cs="Times New Roman"/>
          <w:sz w:val="24"/>
        </w:rPr>
        <w:t xml:space="preserve"> de Croÿ, </w:t>
      </w:r>
      <w:proofErr w:type="spellStart"/>
      <w:r w:rsidR="00CB480D" w:rsidRPr="00CB480D">
        <w:rPr>
          <w:rFonts w:ascii="Garamond" w:hAnsi="Garamond" w:cs="Times New Roman"/>
          <w:i/>
          <w:sz w:val="24"/>
        </w:rPr>
        <w:t>Flandria</w:t>
      </w:r>
      <w:proofErr w:type="spellEnd"/>
      <w:r w:rsidR="00CB480D" w:rsidRPr="00CB480D">
        <w:rPr>
          <w:rFonts w:ascii="Garamond" w:hAnsi="Garamond" w:cs="Times New Roman"/>
          <w:i/>
          <w:sz w:val="24"/>
        </w:rPr>
        <w:t xml:space="preserve"> </w:t>
      </w:r>
      <w:proofErr w:type="spellStart"/>
      <w:r w:rsidR="00CB480D" w:rsidRPr="00CB480D">
        <w:rPr>
          <w:rFonts w:ascii="Garamond" w:hAnsi="Garamond" w:cs="Times New Roman"/>
          <w:i/>
          <w:sz w:val="24"/>
        </w:rPr>
        <w:t>illustrata</w:t>
      </w:r>
      <w:proofErr w:type="spellEnd"/>
      <w:r w:rsidR="00CB480D">
        <w:rPr>
          <w:rFonts w:ascii="Garamond" w:hAnsi="Garamond" w:cs="Times New Roman"/>
          <w:sz w:val="24"/>
        </w:rPr>
        <w:t>…) pose</w:t>
      </w:r>
      <w:r w:rsidR="00873D80">
        <w:rPr>
          <w:rFonts w:ascii="Garamond" w:hAnsi="Garamond" w:cs="Times New Roman"/>
          <w:sz w:val="24"/>
        </w:rPr>
        <w:t>nt</w:t>
      </w:r>
      <w:r w:rsidR="00CB480D">
        <w:rPr>
          <w:rFonts w:ascii="Garamond" w:hAnsi="Garamond" w:cs="Times New Roman"/>
          <w:sz w:val="24"/>
        </w:rPr>
        <w:t xml:space="preserve"> maintes questions</w:t>
      </w:r>
      <w:r w:rsidR="00873D80">
        <w:rPr>
          <w:rFonts w:ascii="Garamond" w:hAnsi="Garamond" w:cs="Times New Roman"/>
          <w:sz w:val="24"/>
        </w:rPr>
        <w:t> :</w:t>
      </w:r>
      <w:r w:rsidR="00051624">
        <w:rPr>
          <w:rFonts w:ascii="Garamond" w:hAnsi="Garamond" w:cs="Times New Roman"/>
          <w:sz w:val="24"/>
        </w:rPr>
        <w:t xml:space="preserve"> </w:t>
      </w:r>
      <w:r w:rsidR="00CB480D">
        <w:rPr>
          <w:rFonts w:ascii="Garamond" w:hAnsi="Garamond" w:cs="Times New Roman"/>
          <w:sz w:val="24"/>
        </w:rPr>
        <w:t xml:space="preserve">la fiabilité </w:t>
      </w:r>
      <w:r w:rsidR="00532C23">
        <w:rPr>
          <w:rFonts w:ascii="Garamond" w:hAnsi="Garamond" w:cs="Times New Roman"/>
          <w:sz w:val="24"/>
        </w:rPr>
        <w:t xml:space="preserve">ou la fiction </w:t>
      </w:r>
      <w:r w:rsidR="00CB480D">
        <w:rPr>
          <w:rFonts w:ascii="Garamond" w:hAnsi="Garamond" w:cs="Times New Roman"/>
          <w:sz w:val="24"/>
        </w:rPr>
        <w:t xml:space="preserve">de la représentation, </w:t>
      </w:r>
      <w:r w:rsidR="00566D15">
        <w:rPr>
          <w:rFonts w:ascii="Garamond" w:hAnsi="Garamond" w:cs="Times New Roman"/>
          <w:sz w:val="24"/>
        </w:rPr>
        <w:t xml:space="preserve">l’angle de vue, la méthode utilisée, </w:t>
      </w:r>
      <w:r w:rsidR="00CB480D">
        <w:rPr>
          <w:rFonts w:ascii="Garamond" w:hAnsi="Garamond" w:cs="Times New Roman"/>
          <w:sz w:val="24"/>
        </w:rPr>
        <w:t>le but recherché</w:t>
      </w:r>
      <w:r w:rsidR="0091688C">
        <w:rPr>
          <w:rFonts w:ascii="Garamond" w:hAnsi="Garamond" w:cs="Times New Roman"/>
          <w:sz w:val="24"/>
        </w:rPr>
        <w:t xml:space="preserve"> – </w:t>
      </w:r>
      <w:r w:rsidR="00051624">
        <w:rPr>
          <w:rFonts w:ascii="Garamond" w:hAnsi="Garamond" w:cs="Times New Roman"/>
          <w:sz w:val="24"/>
        </w:rPr>
        <w:t>gestion, administration juridique et financière</w:t>
      </w:r>
      <w:r w:rsidR="0091688C">
        <w:rPr>
          <w:rFonts w:ascii="Garamond" w:hAnsi="Garamond" w:cs="Times New Roman"/>
          <w:sz w:val="24"/>
        </w:rPr>
        <w:t> ;</w:t>
      </w:r>
      <w:r w:rsidR="00051624">
        <w:rPr>
          <w:rFonts w:ascii="Garamond" w:hAnsi="Garamond" w:cs="Times New Roman"/>
          <w:sz w:val="24"/>
        </w:rPr>
        <w:t xml:space="preserve"> </w:t>
      </w:r>
      <w:r w:rsidR="0091688C">
        <w:rPr>
          <w:rFonts w:ascii="Garamond" w:hAnsi="Garamond" w:cs="Times New Roman"/>
          <w:sz w:val="24"/>
        </w:rPr>
        <w:t xml:space="preserve">ouvrages d’érudition </w:t>
      </w:r>
      <w:r w:rsidR="00051624">
        <w:rPr>
          <w:rFonts w:ascii="Garamond" w:hAnsi="Garamond" w:cs="Times New Roman"/>
          <w:sz w:val="24"/>
        </w:rPr>
        <w:t>…</w:t>
      </w:r>
      <w:r w:rsidR="0091688C">
        <w:rPr>
          <w:rFonts w:ascii="Garamond" w:hAnsi="Garamond" w:cs="Times New Roman"/>
          <w:sz w:val="24"/>
        </w:rPr>
        <w:t xml:space="preserve"> –</w:t>
      </w:r>
      <w:r w:rsidR="00873D80">
        <w:rPr>
          <w:rFonts w:ascii="Garamond" w:hAnsi="Garamond" w:cs="Times New Roman"/>
          <w:sz w:val="24"/>
        </w:rPr>
        <w:t xml:space="preserve"> qui peuvent varier selon les attentes du commanditaire</w:t>
      </w:r>
      <w:r w:rsidR="008C11B1">
        <w:rPr>
          <w:rFonts w:ascii="Garamond" w:hAnsi="Garamond" w:cs="Times New Roman"/>
          <w:sz w:val="24"/>
        </w:rPr>
        <w:t>,</w:t>
      </w:r>
      <w:r w:rsidR="00051624">
        <w:rPr>
          <w:rFonts w:ascii="Garamond" w:hAnsi="Garamond" w:cs="Times New Roman"/>
          <w:sz w:val="24"/>
        </w:rPr>
        <w:t xml:space="preserve"> les conditions historiques</w:t>
      </w:r>
      <w:r w:rsidR="008C11B1">
        <w:rPr>
          <w:rFonts w:ascii="Garamond" w:hAnsi="Garamond" w:cs="Times New Roman"/>
          <w:sz w:val="24"/>
        </w:rPr>
        <w:t xml:space="preserve"> et les normes en usage</w:t>
      </w:r>
      <w:r w:rsidR="00873D80">
        <w:rPr>
          <w:rFonts w:ascii="Garamond" w:hAnsi="Garamond" w:cs="Times New Roman"/>
          <w:sz w:val="24"/>
        </w:rPr>
        <w:t>.</w:t>
      </w:r>
      <w:r w:rsidR="008C11B1">
        <w:rPr>
          <w:rFonts w:ascii="Garamond" w:hAnsi="Garamond" w:cs="Times New Roman"/>
          <w:sz w:val="24"/>
        </w:rPr>
        <w:t xml:space="preserve"> </w:t>
      </w:r>
    </w:p>
    <w:p w:rsidR="00566D15" w:rsidRDefault="008C11B1" w:rsidP="007C7587">
      <w:pPr>
        <w:ind w:left="-567" w:right="-426" w:firstLine="284"/>
        <w:jc w:val="both"/>
        <w:rPr>
          <w:rFonts w:ascii="Garamond" w:hAnsi="Garamond" w:cs="Times New Roman"/>
          <w:sz w:val="24"/>
        </w:rPr>
      </w:pPr>
      <w:r>
        <w:rPr>
          <w:rFonts w:ascii="Garamond" w:hAnsi="Garamond" w:cs="Times New Roman"/>
          <w:sz w:val="24"/>
        </w:rPr>
        <w:t>L’arpenteur et l’ingénieur, l</w:t>
      </w:r>
      <w:r w:rsidR="00CB480D">
        <w:rPr>
          <w:rFonts w:ascii="Garamond" w:hAnsi="Garamond" w:cs="Times New Roman"/>
          <w:sz w:val="24"/>
        </w:rPr>
        <w:t>e dessinateur</w:t>
      </w:r>
      <w:r w:rsidR="00532C23">
        <w:rPr>
          <w:rFonts w:ascii="Garamond" w:hAnsi="Garamond" w:cs="Times New Roman"/>
          <w:sz w:val="24"/>
        </w:rPr>
        <w:t xml:space="preserve"> et</w:t>
      </w:r>
      <w:r w:rsidR="00CB480D">
        <w:rPr>
          <w:rFonts w:ascii="Garamond" w:hAnsi="Garamond" w:cs="Times New Roman"/>
          <w:sz w:val="24"/>
        </w:rPr>
        <w:t xml:space="preserve"> </w:t>
      </w:r>
      <w:r w:rsidR="00532C23">
        <w:rPr>
          <w:rFonts w:ascii="Garamond" w:hAnsi="Garamond" w:cs="Times New Roman"/>
          <w:sz w:val="24"/>
        </w:rPr>
        <w:t xml:space="preserve">le graveur ou </w:t>
      </w:r>
      <w:r w:rsidR="00CB480D">
        <w:rPr>
          <w:rFonts w:ascii="Garamond" w:hAnsi="Garamond" w:cs="Times New Roman"/>
          <w:sz w:val="24"/>
        </w:rPr>
        <w:t>le peintre joue</w:t>
      </w:r>
      <w:r w:rsidR="00566D15">
        <w:rPr>
          <w:rFonts w:ascii="Garamond" w:hAnsi="Garamond" w:cs="Times New Roman"/>
          <w:sz w:val="24"/>
        </w:rPr>
        <w:t>nt</w:t>
      </w:r>
      <w:r w:rsidR="00873D80">
        <w:rPr>
          <w:rFonts w:ascii="Garamond" w:hAnsi="Garamond" w:cs="Times New Roman"/>
          <w:sz w:val="24"/>
        </w:rPr>
        <w:t xml:space="preserve"> donc</w:t>
      </w:r>
      <w:r w:rsidR="00CB480D">
        <w:rPr>
          <w:rFonts w:ascii="Garamond" w:hAnsi="Garamond" w:cs="Times New Roman"/>
          <w:sz w:val="24"/>
        </w:rPr>
        <w:t xml:space="preserve"> un rôle essentiel </w:t>
      </w:r>
      <w:r>
        <w:rPr>
          <w:rFonts w:ascii="Garamond" w:hAnsi="Garamond" w:cs="Times New Roman"/>
          <w:sz w:val="24"/>
        </w:rPr>
        <w:t>– et ceci pose la question du métier</w:t>
      </w:r>
      <w:r w:rsidR="00364EBA">
        <w:rPr>
          <w:rFonts w:ascii="Garamond" w:hAnsi="Garamond" w:cs="Times New Roman"/>
          <w:sz w:val="24"/>
        </w:rPr>
        <w:t xml:space="preserve"> – :</w:t>
      </w:r>
      <w:r w:rsidR="00CB480D">
        <w:rPr>
          <w:rFonts w:ascii="Garamond" w:hAnsi="Garamond" w:cs="Times New Roman"/>
          <w:sz w:val="24"/>
        </w:rPr>
        <w:t xml:space="preserve"> c</w:t>
      </w:r>
      <w:r w:rsidR="00566D15">
        <w:rPr>
          <w:rFonts w:ascii="Garamond" w:hAnsi="Garamond" w:cs="Times New Roman"/>
          <w:sz w:val="24"/>
        </w:rPr>
        <w:t>e sont eux</w:t>
      </w:r>
      <w:r w:rsidR="00CB480D">
        <w:rPr>
          <w:rFonts w:ascii="Garamond" w:hAnsi="Garamond" w:cs="Times New Roman"/>
          <w:sz w:val="24"/>
        </w:rPr>
        <w:t xml:space="preserve"> qui guide</w:t>
      </w:r>
      <w:r w:rsidR="00566D15">
        <w:rPr>
          <w:rFonts w:ascii="Garamond" w:hAnsi="Garamond" w:cs="Times New Roman"/>
          <w:sz w:val="24"/>
        </w:rPr>
        <w:t>nt</w:t>
      </w:r>
      <w:r w:rsidR="00CB480D">
        <w:rPr>
          <w:rFonts w:ascii="Garamond" w:hAnsi="Garamond" w:cs="Times New Roman"/>
          <w:sz w:val="24"/>
        </w:rPr>
        <w:t xml:space="preserve"> le regard du spectateur vers le sujet</w:t>
      </w:r>
      <w:r w:rsidR="00566D15">
        <w:rPr>
          <w:rFonts w:ascii="Garamond" w:hAnsi="Garamond" w:cs="Times New Roman"/>
          <w:sz w:val="24"/>
        </w:rPr>
        <w:t>, lui montrent ce qui doit être vu et retenu.</w:t>
      </w:r>
      <w:r w:rsidR="00873D80">
        <w:rPr>
          <w:rFonts w:ascii="Garamond" w:hAnsi="Garamond" w:cs="Times New Roman"/>
          <w:sz w:val="24"/>
        </w:rPr>
        <w:t xml:space="preserve"> </w:t>
      </w:r>
    </w:p>
    <w:p w:rsidR="00E25EF1" w:rsidRDefault="0091688C" w:rsidP="007C7587">
      <w:pPr>
        <w:ind w:left="-567" w:right="-426" w:firstLine="284"/>
        <w:jc w:val="both"/>
        <w:rPr>
          <w:rFonts w:ascii="Garamond" w:hAnsi="Garamond" w:cs="Times New Roman"/>
          <w:sz w:val="24"/>
        </w:rPr>
      </w:pPr>
      <w:r>
        <w:rPr>
          <w:rFonts w:ascii="Garamond" w:hAnsi="Garamond" w:cs="Times New Roman"/>
          <w:sz w:val="24"/>
        </w:rPr>
        <w:t xml:space="preserve">Pour les mêmes raisons, le paysage à l’arrière-plan </w:t>
      </w:r>
      <w:r w:rsidR="002D308D">
        <w:rPr>
          <w:rFonts w:ascii="Garamond" w:hAnsi="Garamond" w:cs="Times New Roman"/>
          <w:sz w:val="24"/>
        </w:rPr>
        <w:t xml:space="preserve">des scènes </w:t>
      </w:r>
      <w:r w:rsidR="00E25EF1">
        <w:rPr>
          <w:rFonts w:ascii="Garamond" w:hAnsi="Garamond" w:cs="Times New Roman"/>
          <w:sz w:val="24"/>
        </w:rPr>
        <w:t xml:space="preserve">de bataille, comme </w:t>
      </w:r>
      <w:r>
        <w:rPr>
          <w:rFonts w:ascii="Garamond" w:hAnsi="Garamond" w:cs="Times New Roman"/>
          <w:sz w:val="24"/>
        </w:rPr>
        <w:t xml:space="preserve">des portraits officiels et de particuliers, ou celui qui entoure un château ne </w:t>
      </w:r>
      <w:r w:rsidR="00E25EF1">
        <w:rPr>
          <w:rFonts w:ascii="Garamond" w:hAnsi="Garamond" w:cs="Times New Roman"/>
          <w:sz w:val="24"/>
        </w:rPr>
        <w:t>sera pas</w:t>
      </w:r>
      <w:r>
        <w:rPr>
          <w:rFonts w:ascii="Garamond" w:hAnsi="Garamond" w:cs="Times New Roman"/>
          <w:sz w:val="24"/>
        </w:rPr>
        <w:t xml:space="preserve"> négligé.</w:t>
      </w:r>
      <w:r w:rsidR="008C3301">
        <w:rPr>
          <w:rFonts w:ascii="Garamond" w:hAnsi="Garamond" w:cs="Times New Roman"/>
          <w:sz w:val="24"/>
        </w:rPr>
        <w:t> </w:t>
      </w:r>
    </w:p>
    <w:p w:rsidR="00171D1E" w:rsidRDefault="00171D1E" w:rsidP="007C7587">
      <w:pPr>
        <w:ind w:left="-567" w:right="-426" w:firstLine="284"/>
        <w:jc w:val="both"/>
        <w:rPr>
          <w:rFonts w:ascii="Garamond" w:hAnsi="Garamond" w:cs="Times New Roman"/>
          <w:sz w:val="24"/>
        </w:rPr>
      </w:pPr>
    </w:p>
    <w:p w:rsidR="00F81D04" w:rsidRPr="000C370B" w:rsidRDefault="00E25EF1" w:rsidP="007C7587">
      <w:pPr>
        <w:ind w:left="-567" w:right="-426" w:firstLine="284"/>
        <w:jc w:val="both"/>
        <w:rPr>
          <w:rFonts w:ascii="Garamond" w:hAnsi="Garamond" w:cs="Times New Roman"/>
          <w:b/>
          <w:i/>
          <w:sz w:val="24"/>
        </w:rPr>
      </w:pPr>
      <w:r>
        <w:rPr>
          <w:rFonts w:ascii="Garamond" w:hAnsi="Garamond" w:cs="Times New Roman"/>
          <w:b/>
          <w:i/>
          <w:sz w:val="24"/>
        </w:rPr>
        <w:lastRenderedPageBreak/>
        <w:t xml:space="preserve"> </w:t>
      </w:r>
      <w:r w:rsidR="00F81D04">
        <w:rPr>
          <w:rFonts w:ascii="Garamond" w:hAnsi="Garamond" w:cs="Times New Roman"/>
          <w:b/>
          <w:i/>
          <w:sz w:val="24"/>
        </w:rPr>
        <w:t>Portrait littéraire : descriptions des entrées princières, récits de voyages, correspondance diplomatique</w:t>
      </w:r>
    </w:p>
    <w:p w:rsidR="00F81D04" w:rsidRDefault="00F81D04" w:rsidP="007C7587">
      <w:pPr>
        <w:ind w:left="-567" w:right="-426" w:firstLine="284"/>
        <w:jc w:val="both"/>
        <w:rPr>
          <w:rFonts w:ascii="Garamond" w:hAnsi="Garamond" w:cs="Times New Roman"/>
          <w:i/>
          <w:sz w:val="24"/>
        </w:rPr>
      </w:pPr>
      <w:r>
        <w:rPr>
          <w:rFonts w:ascii="Garamond" w:hAnsi="Garamond" w:cs="Times New Roman"/>
          <w:sz w:val="24"/>
        </w:rPr>
        <w:t>Aux représentations graphiques et picturales s’ajoutent les sources textuelles qui permettent d’aborder la ville d’une manière plus sélective, par exemple dans les descriptions des entrées princières, où les monuments principaux et symboliques de la ville sont mis en vedette par le choix d’un itinéraire judicieusement défini et par les haltes qui s’y tiennent. On y joindra les récits de voyages et la correspondance diplomatique.</w:t>
      </w:r>
    </w:p>
    <w:p w:rsidR="000C370B" w:rsidRDefault="000C370B" w:rsidP="007C7587">
      <w:pPr>
        <w:tabs>
          <w:tab w:val="left" w:pos="-567"/>
        </w:tabs>
        <w:ind w:left="-567" w:right="-426" w:firstLine="284"/>
        <w:jc w:val="both"/>
        <w:rPr>
          <w:rFonts w:ascii="Garamond" w:hAnsi="Garamond" w:cs="Times New Roman"/>
          <w:b/>
          <w:i/>
          <w:sz w:val="24"/>
        </w:rPr>
      </w:pPr>
      <w:r>
        <w:rPr>
          <w:rFonts w:ascii="Garamond" w:hAnsi="Garamond" w:cs="Times New Roman"/>
          <w:b/>
          <w:i/>
          <w:sz w:val="24"/>
        </w:rPr>
        <w:t xml:space="preserve">Portrait </w:t>
      </w:r>
      <w:r w:rsidR="00532C23">
        <w:rPr>
          <w:rFonts w:ascii="Garamond" w:hAnsi="Garamond" w:cs="Times New Roman"/>
          <w:b/>
          <w:i/>
          <w:sz w:val="24"/>
        </w:rPr>
        <w:t>de la société</w:t>
      </w:r>
      <w:r w:rsidR="005C0A7F">
        <w:rPr>
          <w:rFonts w:ascii="Garamond" w:hAnsi="Garamond" w:cs="Times New Roman"/>
          <w:b/>
          <w:i/>
          <w:sz w:val="24"/>
        </w:rPr>
        <w:t xml:space="preserve"> </w:t>
      </w:r>
      <w:r>
        <w:rPr>
          <w:rFonts w:ascii="Garamond" w:hAnsi="Garamond" w:cs="Times New Roman"/>
          <w:b/>
          <w:i/>
          <w:sz w:val="24"/>
        </w:rPr>
        <w:t>: les habitants et leurs mœurs</w:t>
      </w:r>
    </w:p>
    <w:p w:rsidR="00B1680C" w:rsidRDefault="00F81D04" w:rsidP="007C7587">
      <w:pPr>
        <w:ind w:left="-567" w:right="-426" w:firstLine="284"/>
        <w:jc w:val="both"/>
        <w:rPr>
          <w:rFonts w:ascii="Garamond" w:hAnsi="Garamond" w:cs="Times New Roman"/>
          <w:sz w:val="24"/>
        </w:rPr>
      </w:pPr>
      <w:r>
        <w:rPr>
          <w:rFonts w:ascii="Garamond" w:hAnsi="Garamond" w:cs="Times New Roman"/>
          <w:sz w:val="24"/>
        </w:rPr>
        <w:t>Enfin, l</w:t>
      </w:r>
      <w:r w:rsidR="00532C23">
        <w:rPr>
          <w:rFonts w:ascii="Garamond" w:hAnsi="Garamond" w:cs="Times New Roman"/>
          <w:sz w:val="24"/>
        </w:rPr>
        <w:t>e portrait d’un pays,</w:t>
      </w:r>
      <w:r w:rsidR="000C370B">
        <w:rPr>
          <w:rFonts w:ascii="Garamond" w:hAnsi="Garamond" w:cs="Times New Roman"/>
          <w:sz w:val="24"/>
        </w:rPr>
        <w:t xml:space="preserve"> d’une ville ou de la compagne </w:t>
      </w:r>
      <w:r w:rsidR="00532C23">
        <w:rPr>
          <w:rFonts w:ascii="Garamond" w:hAnsi="Garamond" w:cs="Times New Roman"/>
          <w:sz w:val="24"/>
        </w:rPr>
        <w:t>qui l’environne</w:t>
      </w:r>
      <w:r>
        <w:rPr>
          <w:rFonts w:ascii="Garamond" w:hAnsi="Garamond" w:cs="Times New Roman"/>
          <w:sz w:val="24"/>
        </w:rPr>
        <w:t>,</w:t>
      </w:r>
      <w:r w:rsidR="00532C23">
        <w:rPr>
          <w:rFonts w:ascii="Garamond" w:hAnsi="Garamond" w:cs="Times New Roman"/>
          <w:sz w:val="24"/>
        </w:rPr>
        <w:t xml:space="preserve"> </w:t>
      </w:r>
      <w:r w:rsidR="00B1680C">
        <w:rPr>
          <w:rFonts w:ascii="Garamond" w:hAnsi="Garamond" w:cs="Times New Roman"/>
          <w:sz w:val="24"/>
        </w:rPr>
        <w:t xml:space="preserve">c’est aussi </w:t>
      </w:r>
      <w:r w:rsidR="00E25EF1">
        <w:rPr>
          <w:rFonts w:ascii="Garamond" w:hAnsi="Garamond" w:cs="Times New Roman"/>
          <w:sz w:val="24"/>
        </w:rPr>
        <w:t xml:space="preserve">celui </w:t>
      </w:r>
      <w:r w:rsidR="00B1680C">
        <w:rPr>
          <w:rFonts w:ascii="Garamond" w:hAnsi="Garamond" w:cs="Times New Roman"/>
          <w:sz w:val="24"/>
        </w:rPr>
        <w:t xml:space="preserve">de ses habitants et de leurs coutumes, de leurs fêtes : la peinture des mœurs affleure dans les récits de voyages et </w:t>
      </w:r>
      <w:r w:rsidR="00532C23">
        <w:rPr>
          <w:rFonts w:ascii="Garamond" w:hAnsi="Garamond" w:cs="Times New Roman"/>
          <w:sz w:val="24"/>
        </w:rPr>
        <w:t>constitue le terreau de l</w:t>
      </w:r>
      <w:r w:rsidR="00B1680C">
        <w:rPr>
          <w:rFonts w:ascii="Garamond" w:hAnsi="Garamond" w:cs="Times New Roman"/>
          <w:sz w:val="24"/>
        </w:rPr>
        <w:t>a peinture de genre</w:t>
      </w:r>
      <w:r w:rsidR="00532C23">
        <w:rPr>
          <w:rFonts w:ascii="Garamond" w:hAnsi="Garamond" w:cs="Times New Roman"/>
          <w:sz w:val="24"/>
        </w:rPr>
        <w:t>.</w:t>
      </w:r>
      <w:r>
        <w:rPr>
          <w:rFonts w:ascii="Garamond" w:hAnsi="Garamond" w:cs="Times New Roman"/>
          <w:sz w:val="24"/>
        </w:rPr>
        <w:t xml:space="preserve"> </w:t>
      </w:r>
    </w:p>
    <w:p w:rsidR="00AE3374" w:rsidRPr="00AE3374" w:rsidRDefault="00AE3374" w:rsidP="007C7587">
      <w:pPr>
        <w:ind w:right="-426" w:firstLine="284"/>
        <w:jc w:val="both"/>
        <w:rPr>
          <w:rFonts w:ascii="Garamond" w:hAnsi="Garamond" w:cs="Times New Roman"/>
        </w:rPr>
      </w:pPr>
    </w:p>
    <w:p w:rsidR="00F81D04" w:rsidRPr="00AE3374" w:rsidRDefault="00AE3374" w:rsidP="007C7587">
      <w:pPr>
        <w:spacing w:after="0"/>
        <w:ind w:right="-426" w:firstLine="284"/>
        <w:jc w:val="both"/>
        <w:rPr>
          <w:rFonts w:ascii="Garamond" w:hAnsi="Garamond" w:cs="Times New Roman"/>
        </w:rPr>
      </w:pPr>
      <w:r w:rsidRPr="007C7587">
        <w:rPr>
          <w:rFonts w:ascii="Garamond" w:hAnsi="Garamond" w:cs="Times New Roman"/>
          <w:b/>
        </w:rPr>
        <w:t>L</w:t>
      </w:r>
      <w:r w:rsidR="00F81D04" w:rsidRPr="007C7587">
        <w:rPr>
          <w:rFonts w:ascii="Garamond" w:hAnsi="Garamond" w:cs="Times New Roman"/>
          <w:b/>
        </w:rPr>
        <w:t>es propositions de communication</w:t>
      </w:r>
      <w:r w:rsidR="00F81D04" w:rsidRPr="00AE3374">
        <w:rPr>
          <w:rFonts w:ascii="Garamond" w:hAnsi="Garamond" w:cs="Times New Roman"/>
        </w:rPr>
        <w:t> (15 à 20 lignes) seront accompagnées d’un bref CV</w:t>
      </w:r>
    </w:p>
    <w:p w:rsidR="003354E1" w:rsidRPr="00BB21B1" w:rsidRDefault="00F81D04" w:rsidP="007C7587">
      <w:pPr>
        <w:spacing w:after="0" w:line="360" w:lineRule="auto"/>
        <w:ind w:right="-426" w:firstLine="284"/>
        <w:jc w:val="both"/>
        <w:rPr>
          <w:rFonts w:ascii="Garamond" w:hAnsi="Garamond" w:cs="Times New Roman"/>
          <w:b/>
        </w:rPr>
      </w:pPr>
      <w:r w:rsidRPr="00BB21B1">
        <w:rPr>
          <w:rFonts w:ascii="Garamond" w:hAnsi="Garamond" w:cs="Times New Roman"/>
          <w:b/>
        </w:rPr>
        <w:t>Date limite : 30 juin 2018</w:t>
      </w:r>
    </w:p>
    <w:p w:rsidR="00AE3374" w:rsidRPr="007C7587" w:rsidRDefault="00AE3374" w:rsidP="007C7587">
      <w:pPr>
        <w:spacing w:after="0"/>
        <w:ind w:right="-426" w:firstLine="284"/>
        <w:jc w:val="both"/>
        <w:rPr>
          <w:rFonts w:ascii="Garamond" w:hAnsi="Garamond" w:cs="Times New Roman"/>
          <w:b/>
        </w:rPr>
      </w:pPr>
      <w:r w:rsidRPr="007C7587">
        <w:rPr>
          <w:rFonts w:ascii="Garamond" w:hAnsi="Garamond" w:cs="Times New Roman"/>
          <w:b/>
        </w:rPr>
        <w:t>À adresser à :</w:t>
      </w:r>
      <w:bookmarkStart w:id="0" w:name="_GoBack"/>
      <w:bookmarkEnd w:id="0"/>
    </w:p>
    <w:p w:rsidR="00AE3374" w:rsidRPr="00AE3374" w:rsidRDefault="00AE3374" w:rsidP="007C7587">
      <w:pPr>
        <w:spacing w:after="0"/>
        <w:ind w:right="-426" w:firstLine="284"/>
        <w:jc w:val="both"/>
        <w:rPr>
          <w:rFonts w:ascii="Garamond" w:hAnsi="Garamond" w:cs="Times New Roman"/>
        </w:rPr>
      </w:pPr>
      <w:r w:rsidRPr="00AE3374">
        <w:rPr>
          <w:rFonts w:ascii="Garamond" w:hAnsi="Garamond" w:cs="Times New Roman"/>
        </w:rPr>
        <w:t>Charles Giry-</w:t>
      </w:r>
      <w:proofErr w:type="spellStart"/>
      <w:r w:rsidRPr="00AE3374">
        <w:rPr>
          <w:rFonts w:ascii="Garamond" w:hAnsi="Garamond" w:cs="Times New Roman"/>
        </w:rPr>
        <w:t>Deloison</w:t>
      </w:r>
      <w:proofErr w:type="spellEnd"/>
      <w:r w:rsidRPr="00AE3374">
        <w:rPr>
          <w:rFonts w:ascii="Garamond" w:hAnsi="Garamond" w:cs="Times New Roman"/>
        </w:rPr>
        <w:t xml:space="preserve"> : </w:t>
      </w:r>
      <w:hyperlink r:id="rId4" w:history="1">
        <w:r w:rsidRPr="00AE3374">
          <w:rPr>
            <w:rStyle w:val="Lienhypertexte"/>
            <w:rFonts w:ascii="Garamond" w:hAnsi="Garamond" w:cs="Times New Roman"/>
          </w:rPr>
          <w:t>charles.girydeloison@univ-artois.fr</w:t>
        </w:r>
      </w:hyperlink>
    </w:p>
    <w:p w:rsidR="00AE3374" w:rsidRPr="00AE3374" w:rsidRDefault="00AE3374" w:rsidP="007C7587">
      <w:pPr>
        <w:spacing w:after="0"/>
        <w:ind w:right="-426" w:firstLine="284"/>
        <w:jc w:val="both"/>
        <w:rPr>
          <w:rFonts w:ascii="Garamond" w:hAnsi="Garamond" w:cs="Times New Roman"/>
        </w:rPr>
      </w:pPr>
      <w:proofErr w:type="gramStart"/>
      <w:r>
        <w:rPr>
          <w:rFonts w:ascii="Garamond" w:hAnsi="Garamond" w:cs="Times New Roman"/>
        </w:rPr>
        <w:t>e</w:t>
      </w:r>
      <w:r w:rsidRPr="00AE3374">
        <w:rPr>
          <w:rFonts w:ascii="Garamond" w:hAnsi="Garamond" w:cs="Times New Roman"/>
        </w:rPr>
        <w:t>t</w:t>
      </w:r>
      <w:proofErr w:type="gramEnd"/>
    </w:p>
    <w:p w:rsidR="00AE3374" w:rsidRDefault="00AE3374" w:rsidP="007C7587">
      <w:pPr>
        <w:spacing w:after="0" w:line="360" w:lineRule="auto"/>
        <w:ind w:right="-426" w:firstLine="284"/>
        <w:jc w:val="both"/>
        <w:rPr>
          <w:rFonts w:ascii="Garamond" w:hAnsi="Garamond" w:cs="Times New Roman"/>
          <w:sz w:val="24"/>
        </w:rPr>
      </w:pPr>
      <w:r w:rsidRPr="00AE3374">
        <w:rPr>
          <w:rFonts w:ascii="Garamond" w:hAnsi="Garamond" w:cs="Times New Roman"/>
        </w:rPr>
        <w:t xml:space="preserve">Laurence </w:t>
      </w:r>
      <w:proofErr w:type="spellStart"/>
      <w:r w:rsidRPr="00AE3374">
        <w:rPr>
          <w:rFonts w:ascii="Garamond" w:hAnsi="Garamond" w:cs="Times New Roman"/>
        </w:rPr>
        <w:t>Baudoux</w:t>
      </w:r>
      <w:proofErr w:type="spellEnd"/>
      <w:r w:rsidRPr="00AE3374">
        <w:rPr>
          <w:rFonts w:ascii="Garamond" w:hAnsi="Garamond" w:cs="Times New Roman"/>
        </w:rPr>
        <w:t xml:space="preserve"> : </w:t>
      </w:r>
      <w:hyperlink r:id="rId5" w:history="1">
        <w:r w:rsidRPr="00AE3374">
          <w:rPr>
            <w:rStyle w:val="Lienhypertexte"/>
            <w:rFonts w:ascii="Garamond" w:hAnsi="Garamond" w:cs="Times New Roman"/>
          </w:rPr>
          <w:t>laurence.baudoux@gmail.com</w:t>
        </w:r>
      </w:hyperlink>
    </w:p>
    <w:p w:rsidR="00F81D04" w:rsidRPr="007C7587" w:rsidRDefault="00F81D04" w:rsidP="007C7587">
      <w:pPr>
        <w:ind w:right="-426" w:firstLine="284"/>
        <w:jc w:val="both"/>
        <w:rPr>
          <w:rFonts w:ascii="Garamond" w:hAnsi="Garamond" w:cs="Times New Roman"/>
          <w:b/>
          <w:sz w:val="24"/>
        </w:rPr>
      </w:pPr>
      <w:r w:rsidRPr="007C7587">
        <w:rPr>
          <w:rFonts w:ascii="Garamond" w:hAnsi="Garamond" w:cs="Times New Roman"/>
          <w:b/>
          <w:sz w:val="24"/>
        </w:rPr>
        <w:t xml:space="preserve">Confirmation par le comité scientifique : 15 juillet 2018 </w:t>
      </w:r>
    </w:p>
    <w:p w:rsidR="00F81D04" w:rsidRPr="00F81D04" w:rsidRDefault="00F81D04" w:rsidP="007C7587">
      <w:pPr>
        <w:ind w:right="-426" w:firstLine="284"/>
        <w:jc w:val="both"/>
        <w:rPr>
          <w:rFonts w:ascii="Garamond" w:hAnsi="Garamond" w:cs="Times New Roman"/>
          <w:sz w:val="24"/>
        </w:rPr>
      </w:pPr>
    </w:p>
    <w:p w:rsidR="003354E1" w:rsidRPr="003354E1" w:rsidRDefault="003354E1" w:rsidP="007C7587">
      <w:pPr>
        <w:ind w:firstLine="284"/>
        <w:rPr>
          <w:b/>
          <w:color w:val="2E74B5" w:themeColor="accent5" w:themeShade="BF"/>
          <w:sz w:val="24"/>
        </w:rPr>
      </w:pPr>
    </w:p>
    <w:sectPr w:rsidR="003354E1" w:rsidRPr="00335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4E1"/>
    <w:rsid w:val="00051624"/>
    <w:rsid w:val="000C370B"/>
    <w:rsid w:val="00171D1E"/>
    <w:rsid w:val="002D308D"/>
    <w:rsid w:val="003354E1"/>
    <w:rsid w:val="00364EBA"/>
    <w:rsid w:val="003665AC"/>
    <w:rsid w:val="0045068A"/>
    <w:rsid w:val="004D4669"/>
    <w:rsid w:val="00532C23"/>
    <w:rsid w:val="00566D15"/>
    <w:rsid w:val="005C0A7F"/>
    <w:rsid w:val="00731899"/>
    <w:rsid w:val="007C7587"/>
    <w:rsid w:val="00873D80"/>
    <w:rsid w:val="008C11B1"/>
    <w:rsid w:val="008C3301"/>
    <w:rsid w:val="0091688C"/>
    <w:rsid w:val="00995049"/>
    <w:rsid w:val="009D5AD7"/>
    <w:rsid w:val="00A45FDF"/>
    <w:rsid w:val="00AE3374"/>
    <w:rsid w:val="00B1680C"/>
    <w:rsid w:val="00BB21B1"/>
    <w:rsid w:val="00C16383"/>
    <w:rsid w:val="00C659E8"/>
    <w:rsid w:val="00CB480D"/>
    <w:rsid w:val="00D9792F"/>
    <w:rsid w:val="00E25EF1"/>
    <w:rsid w:val="00E34426"/>
    <w:rsid w:val="00F457AE"/>
    <w:rsid w:val="00F81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A7511-10C3-48FC-B44B-4E8344DA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3374"/>
    <w:rPr>
      <w:color w:val="0563C1" w:themeColor="hyperlink"/>
      <w:u w:val="single"/>
    </w:rPr>
  </w:style>
  <w:style w:type="character" w:customStyle="1" w:styleId="Mentionnonrsolue1">
    <w:name w:val="Mention non résolue1"/>
    <w:basedOn w:val="Policepardfaut"/>
    <w:uiPriority w:val="99"/>
    <w:semiHidden/>
    <w:unhideWhenUsed/>
    <w:rsid w:val="00AE3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ence.baudoux@gmail.com" TargetMode="External"/><Relationship Id="rId4" Type="http://schemas.openxmlformats.org/officeDocument/2006/relationships/hyperlink" Target="mailto:charles.girydeloison@univ-arto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2018-04-13T10:03:00Z</dcterms:created>
  <dcterms:modified xsi:type="dcterms:W3CDTF">2018-04-13T10:03:00Z</dcterms:modified>
</cp:coreProperties>
</file>