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CF" w:rsidRPr="001F6244" w:rsidRDefault="001E7ACF" w:rsidP="001E7ACF">
      <w:pPr>
        <w:jc w:val="both"/>
        <w:rPr>
          <w:sz w:val="28"/>
          <w:szCs w:val="28"/>
          <w:lang w:val="en-US"/>
        </w:rPr>
      </w:pPr>
      <w:bookmarkStart w:id="0" w:name="_GoBack"/>
      <w:bookmarkEnd w:id="0"/>
      <w:r>
        <w:rPr>
          <w:noProof/>
          <w:lang w:eastAsia="fr-FR"/>
        </w:rPr>
        <w:drawing>
          <wp:inline distT="0" distB="0" distL="0" distR="0" wp14:anchorId="1213FF02" wp14:editId="242A9CC3">
            <wp:extent cx="1310640" cy="792480"/>
            <wp:effectExtent l="0" t="0" r="3810" b="7620"/>
            <wp:docPr id="1" name="Image 1" descr="Description : Description : Description : logo"/>
            <wp:cNvGraphicFramePr/>
            <a:graphic xmlns:a="http://schemas.openxmlformats.org/drawingml/2006/main">
              <a:graphicData uri="http://schemas.openxmlformats.org/drawingml/2006/picture">
                <pic:pic xmlns:pic="http://schemas.openxmlformats.org/drawingml/2006/picture">
                  <pic:nvPicPr>
                    <pic:cNvPr id="2" name="Image 1" descr="Description : Description : Description : logo"/>
                    <pic:cNvPicPr/>
                  </pic:nvPicPr>
                  <pic:blipFill>
                    <a:blip r:embed="rId6" cstate="print"/>
                    <a:srcRect/>
                    <a:stretch>
                      <a:fillRect/>
                    </a:stretch>
                  </pic:blipFill>
                  <pic:spPr bwMode="auto">
                    <a:xfrm>
                      <a:off x="0" y="0"/>
                      <a:ext cx="1310640" cy="792480"/>
                    </a:xfrm>
                    <a:prstGeom prst="rect">
                      <a:avLst/>
                    </a:prstGeom>
                    <a:noFill/>
                    <a:ln w="9525">
                      <a:noFill/>
                      <a:miter lim="800000"/>
                      <a:headEnd/>
                      <a:tailEnd/>
                    </a:ln>
                  </pic:spPr>
                </pic:pic>
              </a:graphicData>
            </a:graphic>
          </wp:inline>
        </w:drawing>
      </w:r>
      <w:r w:rsidRPr="001F6244">
        <w:rPr>
          <w:sz w:val="28"/>
          <w:szCs w:val="28"/>
          <w:lang w:val="en-US"/>
        </w:rPr>
        <w:t xml:space="preserve"> </w:t>
      </w:r>
      <w:r w:rsidRPr="001F6244">
        <w:rPr>
          <w:sz w:val="28"/>
          <w:szCs w:val="28"/>
          <w:lang w:val="en-US"/>
        </w:rPr>
        <w:tab/>
      </w:r>
      <w:r w:rsidRPr="001F6244">
        <w:rPr>
          <w:sz w:val="28"/>
          <w:szCs w:val="28"/>
          <w:lang w:val="en-US"/>
        </w:rPr>
        <w:tab/>
      </w:r>
      <w:r w:rsidRPr="001F6244">
        <w:rPr>
          <w:sz w:val="28"/>
          <w:szCs w:val="28"/>
          <w:lang w:val="en-US"/>
        </w:rPr>
        <w:tab/>
      </w:r>
      <w:r w:rsidRPr="001F6244">
        <w:rPr>
          <w:sz w:val="28"/>
          <w:szCs w:val="28"/>
          <w:lang w:val="en-US"/>
        </w:rPr>
        <w:tab/>
      </w:r>
      <w:r w:rsidRPr="001F6244">
        <w:rPr>
          <w:sz w:val="28"/>
          <w:szCs w:val="28"/>
          <w:lang w:val="en-US"/>
        </w:rPr>
        <w:tab/>
      </w:r>
      <w:r w:rsidRPr="001F6244">
        <w:rPr>
          <w:sz w:val="28"/>
          <w:szCs w:val="28"/>
          <w:lang w:val="en-US"/>
        </w:rPr>
        <w:tab/>
      </w:r>
      <w:r>
        <w:rPr>
          <w:noProof/>
          <w:sz w:val="28"/>
          <w:szCs w:val="28"/>
          <w:lang w:eastAsia="fr-FR"/>
        </w:rPr>
        <w:drawing>
          <wp:inline distT="0" distB="0" distL="0" distR="0" wp14:anchorId="11CC9EB0" wp14:editId="71F0821A">
            <wp:extent cx="1234440" cy="1122978"/>
            <wp:effectExtent l="0" t="0" r="381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1122978"/>
                    </a:xfrm>
                    <a:prstGeom prst="rect">
                      <a:avLst/>
                    </a:prstGeom>
                    <a:noFill/>
                    <a:ln>
                      <a:noFill/>
                    </a:ln>
                  </pic:spPr>
                </pic:pic>
              </a:graphicData>
            </a:graphic>
          </wp:inline>
        </w:drawing>
      </w:r>
    </w:p>
    <w:p w:rsidR="00C05D93" w:rsidRPr="00462322" w:rsidRDefault="00CB2222" w:rsidP="00C05D93">
      <w:pPr>
        <w:jc w:val="center"/>
        <w:rPr>
          <w:b/>
          <w:sz w:val="44"/>
          <w:szCs w:val="44"/>
          <w:lang w:val="pt-BR"/>
        </w:rPr>
      </w:pPr>
      <w:r w:rsidRPr="00462322">
        <w:rPr>
          <w:b/>
          <w:sz w:val="44"/>
          <w:szCs w:val="44"/>
          <w:lang w:val="pt-BR"/>
        </w:rPr>
        <w:t>O arrependimento</w:t>
      </w:r>
    </w:p>
    <w:p w:rsidR="00C05D93" w:rsidRPr="00462322" w:rsidRDefault="00CB2222" w:rsidP="00C05D93">
      <w:pPr>
        <w:jc w:val="center"/>
        <w:rPr>
          <w:b/>
          <w:sz w:val="44"/>
          <w:szCs w:val="44"/>
          <w:lang w:val="pt-BR"/>
        </w:rPr>
      </w:pPr>
      <w:r w:rsidRPr="00462322">
        <w:rPr>
          <w:b/>
          <w:sz w:val="44"/>
          <w:szCs w:val="44"/>
          <w:lang w:val="pt-BR"/>
        </w:rPr>
        <w:t>Gênese</w:t>
      </w:r>
      <w:r w:rsidR="00C05D93" w:rsidRPr="00462322">
        <w:rPr>
          <w:b/>
          <w:sz w:val="44"/>
          <w:szCs w:val="44"/>
          <w:lang w:val="pt-BR"/>
        </w:rPr>
        <w:t>(s) e</w:t>
      </w:r>
      <w:r w:rsidRPr="00462322">
        <w:rPr>
          <w:b/>
          <w:sz w:val="44"/>
          <w:szCs w:val="44"/>
          <w:lang w:val="pt-BR"/>
        </w:rPr>
        <w:t xml:space="preserve"> atualidade</w:t>
      </w:r>
      <w:r w:rsidR="00C05D93" w:rsidRPr="00462322">
        <w:rPr>
          <w:b/>
          <w:sz w:val="44"/>
          <w:szCs w:val="44"/>
          <w:lang w:val="pt-BR"/>
        </w:rPr>
        <w:t>(s)</w:t>
      </w:r>
    </w:p>
    <w:p w:rsidR="00C05D93" w:rsidRPr="00462322" w:rsidRDefault="00CB2222" w:rsidP="00C05D93">
      <w:pPr>
        <w:jc w:val="center"/>
        <w:rPr>
          <w:b/>
          <w:sz w:val="28"/>
          <w:szCs w:val="28"/>
          <w:lang w:val="pt-BR"/>
        </w:rPr>
      </w:pPr>
      <w:r w:rsidRPr="00462322">
        <w:rPr>
          <w:b/>
          <w:sz w:val="28"/>
          <w:szCs w:val="28"/>
          <w:lang w:val="pt-BR"/>
        </w:rPr>
        <w:t>Colóqui</w:t>
      </w:r>
      <w:r w:rsidR="00D94FDA" w:rsidRPr="00462322">
        <w:rPr>
          <w:b/>
          <w:sz w:val="28"/>
          <w:szCs w:val="28"/>
          <w:lang w:val="pt-BR"/>
        </w:rPr>
        <w:t>o</w:t>
      </w:r>
      <w:r w:rsidRPr="00462322">
        <w:rPr>
          <w:b/>
          <w:sz w:val="28"/>
          <w:szCs w:val="28"/>
          <w:lang w:val="pt-BR"/>
        </w:rPr>
        <w:t xml:space="preserve"> internacional interdisciplinar</w:t>
      </w:r>
    </w:p>
    <w:p w:rsidR="00C05D93" w:rsidRPr="00462322" w:rsidRDefault="00C05D93" w:rsidP="00C05D93">
      <w:pPr>
        <w:jc w:val="center"/>
        <w:rPr>
          <w:b/>
          <w:sz w:val="28"/>
          <w:szCs w:val="28"/>
          <w:lang w:val="pt-BR"/>
        </w:rPr>
      </w:pPr>
      <w:r w:rsidRPr="00462322">
        <w:rPr>
          <w:b/>
          <w:sz w:val="28"/>
          <w:szCs w:val="28"/>
          <w:lang w:val="pt-BR"/>
        </w:rPr>
        <w:t>Dakar, S</w:t>
      </w:r>
      <w:r w:rsidR="00CB2222" w:rsidRPr="00462322">
        <w:rPr>
          <w:b/>
          <w:sz w:val="28"/>
          <w:szCs w:val="28"/>
          <w:lang w:val="pt-BR"/>
        </w:rPr>
        <w:t>enegal, 22 e</w:t>
      </w:r>
      <w:r w:rsidRPr="00462322">
        <w:rPr>
          <w:b/>
          <w:sz w:val="28"/>
          <w:szCs w:val="28"/>
          <w:lang w:val="pt-BR"/>
        </w:rPr>
        <w:t xml:space="preserve"> 23 </w:t>
      </w:r>
      <w:r w:rsidR="00CB2222" w:rsidRPr="00462322">
        <w:rPr>
          <w:b/>
          <w:sz w:val="28"/>
          <w:szCs w:val="28"/>
          <w:lang w:val="pt-BR"/>
        </w:rPr>
        <w:t>de fevereiro de</w:t>
      </w:r>
      <w:r w:rsidRPr="00462322">
        <w:rPr>
          <w:b/>
          <w:sz w:val="28"/>
          <w:szCs w:val="28"/>
          <w:lang w:val="pt-BR"/>
        </w:rPr>
        <w:t xml:space="preserve"> 2017</w:t>
      </w:r>
    </w:p>
    <w:p w:rsidR="00C05D93" w:rsidRPr="00462322" w:rsidRDefault="00CB2222" w:rsidP="00C05D93">
      <w:pPr>
        <w:jc w:val="center"/>
        <w:rPr>
          <w:sz w:val="28"/>
          <w:szCs w:val="28"/>
          <w:lang w:val="pt-BR"/>
        </w:rPr>
      </w:pPr>
      <w:r w:rsidRPr="00462322">
        <w:rPr>
          <w:sz w:val="28"/>
          <w:szCs w:val="28"/>
          <w:lang w:val="pt-BR"/>
        </w:rPr>
        <w:t>Ap</w:t>
      </w:r>
      <w:r w:rsidR="00C05D93" w:rsidRPr="00462322">
        <w:rPr>
          <w:sz w:val="28"/>
          <w:szCs w:val="28"/>
          <w:lang w:val="pt-BR"/>
        </w:rPr>
        <w:t>el</w:t>
      </w:r>
      <w:r w:rsidRPr="00462322">
        <w:rPr>
          <w:sz w:val="28"/>
          <w:szCs w:val="28"/>
          <w:lang w:val="pt-BR"/>
        </w:rPr>
        <w:t>o</w:t>
      </w:r>
      <w:r w:rsidR="00C05D93" w:rsidRPr="00462322">
        <w:rPr>
          <w:sz w:val="28"/>
          <w:szCs w:val="28"/>
          <w:lang w:val="pt-BR"/>
        </w:rPr>
        <w:t xml:space="preserve"> à </w:t>
      </w:r>
      <w:r w:rsidRPr="00462322">
        <w:rPr>
          <w:sz w:val="28"/>
          <w:szCs w:val="28"/>
          <w:lang w:val="pt-BR"/>
        </w:rPr>
        <w:t>comunicação</w:t>
      </w:r>
    </w:p>
    <w:p w:rsidR="00D94FDA" w:rsidRPr="00462322" w:rsidRDefault="00CB2222" w:rsidP="00D94FDA">
      <w:pPr>
        <w:jc w:val="both"/>
        <w:rPr>
          <w:lang w:val="pt-BR"/>
        </w:rPr>
      </w:pPr>
      <w:r w:rsidRPr="00462322">
        <w:rPr>
          <w:lang w:val="pt-BR"/>
        </w:rPr>
        <w:t xml:space="preserve">A questão do arrependimento se inscreve doravante </w:t>
      </w:r>
      <w:r w:rsidR="00DD11A8">
        <w:rPr>
          <w:lang w:val="pt-BR"/>
        </w:rPr>
        <w:t>n</w:t>
      </w:r>
      <w:r w:rsidRPr="00462322">
        <w:rPr>
          <w:lang w:val="pt-BR"/>
        </w:rPr>
        <w:t>a esfera pública e diz respeito não somente a coletivos vastos (nações, povos, comunidades, instituições...) mas também a indivíduos, tendo u</w:t>
      </w:r>
      <w:r w:rsidR="00DD11A8">
        <w:rPr>
          <w:lang w:val="pt-BR"/>
        </w:rPr>
        <w:t xml:space="preserve">ma relação </w:t>
      </w:r>
      <w:r w:rsidR="00D94FDA" w:rsidRPr="00462322">
        <w:rPr>
          <w:lang w:val="pt-BR"/>
        </w:rPr>
        <w:t xml:space="preserve">Histórica complexa (os </w:t>
      </w:r>
      <w:r w:rsidR="00DD11A8">
        <w:rPr>
          <w:lang w:val="pt-BR"/>
        </w:rPr>
        <w:t>desejos</w:t>
      </w:r>
      <w:r w:rsidR="00D94FDA" w:rsidRPr="00462322">
        <w:rPr>
          <w:lang w:val="pt-BR"/>
        </w:rPr>
        <w:t xml:space="preserve"> de arrependimento dizem respeito a períodos não vivenciados pelos protagonistas, </w:t>
      </w:r>
      <w:r w:rsidR="00DD11A8">
        <w:rPr>
          <w:lang w:val="pt-BR"/>
        </w:rPr>
        <w:t>distanciados</w:t>
      </w:r>
      <w:r w:rsidR="00D94FDA" w:rsidRPr="00462322">
        <w:rPr>
          <w:lang w:val="pt-BR"/>
        </w:rPr>
        <w:t xml:space="preserve"> no tempo, enquanto se referem a instituições ou atores cujo elo com a falta pode ser estabelecido). O arrependimento foi,</w:t>
      </w:r>
      <w:r w:rsidR="00DD11A8">
        <w:rPr>
          <w:lang w:val="pt-BR"/>
        </w:rPr>
        <w:t xml:space="preserve"> ao mesmo tempo, mundializado e hoje</w:t>
      </w:r>
      <w:r w:rsidR="00D94FDA" w:rsidRPr="00462322">
        <w:rPr>
          <w:lang w:val="pt-BR"/>
        </w:rPr>
        <w:t xml:space="preserve"> abrange uma grande diversidade de </w:t>
      </w:r>
      <w:r w:rsidR="00DD11A8">
        <w:rPr>
          <w:lang w:val="pt-BR"/>
        </w:rPr>
        <w:t>zonas</w:t>
      </w:r>
      <w:r w:rsidR="00D94FDA" w:rsidRPr="00462322">
        <w:rPr>
          <w:lang w:val="pt-BR"/>
        </w:rPr>
        <w:t xml:space="preserve"> geográficas e culturais, tomando formas extremamente variadas e remetendo a fatos cuja amplitude, a distância temporal ou cujo contexto em nada são comparáveis. As raízes do arrependimento são, de fato, originadas de múltiplas tradições (religiosas, culturais, nacionais, comunitárias) e, hoje, a publicação (por intermédio dos meios de comunicação) resulta em formas secularizadas do arrependimento</w:t>
      </w:r>
      <w:r w:rsidR="00DD11A8">
        <w:rPr>
          <w:lang w:val="pt-BR"/>
        </w:rPr>
        <w:t>,</w:t>
      </w:r>
      <w:r w:rsidR="00D94FDA" w:rsidRPr="00462322">
        <w:rPr>
          <w:lang w:val="pt-BR"/>
        </w:rPr>
        <w:t xml:space="preserve"> das quais são ausentes a maioria das dimensões tradicionalmente constitutivas da definição do arrependimento.</w:t>
      </w:r>
    </w:p>
    <w:p w:rsidR="00C05D93" w:rsidRPr="00462322" w:rsidRDefault="006015D6" w:rsidP="006015D6">
      <w:pPr>
        <w:jc w:val="both"/>
        <w:rPr>
          <w:lang w:val="pt-BR"/>
        </w:rPr>
      </w:pPr>
      <w:r w:rsidRPr="00462322">
        <w:rPr>
          <w:lang w:val="pt-BR"/>
        </w:rPr>
        <w:t xml:space="preserve">É esse elo entre as formas tradicionais e a (pós?) modernidade do arrependimento que o presente colóquio internacional tentará estabelecer por meio de contribuições centradas em obras de pesquisadores de diferentes disciplinas, estudando objetos situados em contextos variados. Assim, as interrogações irão abordar a questão das consequências (supostas ou comprovadas) do arrependimento </w:t>
      </w:r>
      <w:r w:rsidR="00A26595">
        <w:rPr>
          <w:lang w:val="pt-BR"/>
        </w:rPr>
        <w:t xml:space="preserve">menos </w:t>
      </w:r>
      <w:r w:rsidRPr="00462322">
        <w:rPr>
          <w:lang w:val="pt-BR"/>
        </w:rPr>
        <w:t xml:space="preserve">do que a do arrependimento </w:t>
      </w:r>
      <w:r w:rsidRPr="00462322">
        <w:rPr>
          <w:i/>
          <w:lang w:val="pt-BR"/>
        </w:rPr>
        <w:t>em si</w:t>
      </w:r>
      <w:r w:rsidRPr="00462322">
        <w:rPr>
          <w:lang w:val="pt-BR"/>
        </w:rPr>
        <w:t xml:space="preserve">, partindo de um conjunto de fatos ou de um caso preciso, de textos, da concepção de um autor, da prática específica de uma instituição, de grupos ou de ninguém. Elas são convidadas a levar a sério as articulações entre o arrependimento e o perdão ou a reconciliação sem se contentar em pensar no “depois” ou na “página em branco” aberta pelo arrependimento. Em vez de buscar </w:t>
      </w:r>
      <w:r w:rsidRPr="00462322">
        <w:rPr>
          <w:i/>
          <w:lang w:val="pt-BR"/>
        </w:rPr>
        <w:t>um</w:t>
      </w:r>
      <w:r w:rsidRPr="00462322">
        <w:rPr>
          <w:lang w:val="pt-BR"/>
        </w:rPr>
        <w:t xml:space="preserve"> sentido (teológico, antropológico, filosófico...) para o arrependimento, tratar-se-á de esclarecer </w:t>
      </w:r>
      <w:r w:rsidRPr="00462322">
        <w:rPr>
          <w:i/>
          <w:lang w:val="pt-BR"/>
        </w:rPr>
        <w:t>os</w:t>
      </w:r>
      <w:r w:rsidRPr="00462322">
        <w:rPr>
          <w:lang w:val="pt-BR"/>
        </w:rPr>
        <w:t xml:space="preserve"> sentidos do arrependimento a partir de contextos distintos (históricos, políticos, religiosos, sociológicos, jurídicos, muitas vezes assimétricos), levando em conta eventuais visões estratégicas ou formas de instrumentalização... Também poderemos analisar o sentido das resistências ou a recusa de </w:t>
      </w:r>
      <w:r w:rsidR="00A26595">
        <w:rPr>
          <w:lang w:val="pt-BR"/>
        </w:rPr>
        <w:t>iniciar</w:t>
      </w:r>
      <w:r w:rsidRPr="00462322">
        <w:rPr>
          <w:lang w:val="pt-BR"/>
        </w:rPr>
        <w:t xml:space="preserve"> uma atitude de arrependimento.</w:t>
      </w:r>
    </w:p>
    <w:p w:rsidR="00C05D93" w:rsidRPr="00462322" w:rsidRDefault="006015D6" w:rsidP="006015D6">
      <w:pPr>
        <w:jc w:val="both"/>
        <w:rPr>
          <w:lang w:val="pt-BR"/>
        </w:rPr>
      </w:pPr>
      <w:r w:rsidRPr="00462322">
        <w:rPr>
          <w:lang w:val="pt-BR"/>
        </w:rPr>
        <w:lastRenderedPageBreak/>
        <w:t>Para as proposições que se inscrevem nos eixos 2, 3 e 4, as obras se respaldarão em abordagens de casos precisamente definidos (eventualmente comparados) para propor uma problemática e uma análise. As obras baseadas na análise de corpos de textos, de arquivos ou de produções mediáticas serão privilegiados. Os quatro eixos seguintes articularão a exploração da temática do Arrependimento:</w:t>
      </w:r>
    </w:p>
    <w:p w:rsidR="00C05D93" w:rsidRPr="00462322" w:rsidRDefault="006015D6" w:rsidP="00C05D93">
      <w:pPr>
        <w:jc w:val="both"/>
        <w:rPr>
          <w:b/>
          <w:lang w:val="pt-BR"/>
        </w:rPr>
      </w:pPr>
      <w:r w:rsidRPr="00462322">
        <w:rPr>
          <w:b/>
          <w:lang w:val="pt-BR"/>
        </w:rPr>
        <w:t>Eixo</w:t>
      </w:r>
      <w:r w:rsidR="00C05D93" w:rsidRPr="00462322">
        <w:rPr>
          <w:b/>
          <w:lang w:val="pt-BR"/>
        </w:rPr>
        <w:t xml:space="preserve"> 1. </w:t>
      </w:r>
      <w:r w:rsidRPr="00462322">
        <w:rPr>
          <w:b/>
          <w:lang w:val="pt-BR"/>
        </w:rPr>
        <w:t>Abordagem</w:t>
      </w:r>
      <w:r w:rsidR="00C05D93" w:rsidRPr="00462322">
        <w:rPr>
          <w:b/>
          <w:lang w:val="pt-BR"/>
        </w:rPr>
        <w:t>(</w:t>
      </w:r>
      <w:r w:rsidRPr="00462322">
        <w:rPr>
          <w:b/>
          <w:lang w:val="pt-BR"/>
        </w:rPr>
        <w:t>n</w:t>
      </w:r>
      <w:r w:rsidR="00C05D93" w:rsidRPr="00462322">
        <w:rPr>
          <w:b/>
          <w:lang w:val="pt-BR"/>
        </w:rPr>
        <w:t xml:space="preserve">s) </w:t>
      </w:r>
      <w:r w:rsidRPr="00462322">
        <w:rPr>
          <w:b/>
          <w:lang w:val="pt-BR"/>
        </w:rPr>
        <w:t>conceitual</w:t>
      </w:r>
      <w:r w:rsidR="00C05D93" w:rsidRPr="00462322">
        <w:rPr>
          <w:b/>
          <w:lang w:val="pt-BR"/>
        </w:rPr>
        <w:t>(</w:t>
      </w:r>
      <w:r w:rsidRPr="00462322">
        <w:rPr>
          <w:b/>
          <w:lang w:val="pt-BR"/>
        </w:rPr>
        <w:t>ai</w:t>
      </w:r>
      <w:r w:rsidR="00C05D93" w:rsidRPr="00462322">
        <w:rPr>
          <w:b/>
          <w:lang w:val="pt-BR"/>
        </w:rPr>
        <w:t>s)</w:t>
      </w:r>
    </w:p>
    <w:p w:rsidR="00C05D93" w:rsidRPr="00462322" w:rsidRDefault="007C6F3B" w:rsidP="00C05D93">
      <w:pPr>
        <w:jc w:val="both"/>
        <w:rPr>
          <w:lang w:val="pt-BR"/>
        </w:rPr>
      </w:pPr>
      <w:r w:rsidRPr="00462322">
        <w:rPr>
          <w:lang w:val="pt-BR"/>
        </w:rPr>
        <w:t>Como definir o arrependimento Quais conceitos podem ser mobilizados? Como compreender os desafios do arrependimento? O que difere o arrependimento das demais práticas (autocrítica, confissão...)?</w:t>
      </w:r>
    </w:p>
    <w:p w:rsidR="002A5E5F" w:rsidRPr="00462322" w:rsidRDefault="007C6F3B" w:rsidP="00C05D93">
      <w:pPr>
        <w:jc w:val="both"/>
        <w:rPr>
          <w:b/>
          <w:lang w:val="pt-BR"/>
        </w:rPr>
      </w:pPr>
      <w:r w:rsidRPr="00462322">
        <w:rPr>
          <w:b/>
          <w:lang w:val="pt-BR"/>
        </w:rPr>
        <w:t xml:space="preserve">Eixo </w:t>
      </w:r>
      <w:r w:rsidR="00C05D93" w:rsidRPr="00462322">
        <w:rPr>
          <w:b/>
          <w:lang w:val="pt-BR"/>
        </w:rPr>
        <w:t xml:space="preserve">2. </w:t>
      </w:r>
      <w:r w:rsidRPr="00462322">
        <w:rPr>
          <w:b/>
          <w:lang w:val="pt-BR"/>
        </w:rPr>
        <w:t>Heranças históricas, culturais e arrependimento</w:t>
      </w:r>
    </w:p>
    <w:p w:rsidR="004F3B93" w:rsidRPr="00462322" w:rsidRDefault="007C6F3B" w:rsidP="00C05D93">
      <w:pPr>
        <w:jc w:val="both"/>
        <w:rPr>
          <w:lang w:val="pt-BR"/>
        </w:rPr>
      </w:pPr>
      <w:r w:rsidRPr="00462322">
        <w:rPr>
          <w:lang w:val="pt-BR"/>
        </w:rPr>
        <w:t>O arrependimento questiona o relacionamento que o portador do arrependimento possui com as faltas das quais se acusa ou cuja responsabilidade aceita assumir. Em quais continuidades o arrependimento pode repousar</w:t>
      </w:r>
      <w:r w:rsidR="00A26595">
        <w:rPr>
          <w:lang w:val="pt-BR"/>
        </w:rPr>
        <w:t>,</w:t>
      </w:r>
      <w:r w:rsidRPr="00462322">
        <w:rPr>
          <w:lang w:val="pt-BR"/>
        </w:rPr>
        <w:t xml:space="preserve"> para além das evoluções, das rupturas culturais e políticas, da transformação das instituições? Como se articula a questão da leitura dos fatos do passado sob a luz do presente no processo de arrependimento?</w:t>
      </w:r>
      <w:r w:rsidR="00C05D93" w:rsidRPr="00462322">
        <w:rPr>
          <w:lang w:val="pt-BR"/>
        </w:rPr>
        <w:t xml:space="preserve"> </w:t>
      </w:r>
    </w:p>
    <w:p w:rsidR="00C05D93" w:rsidRPr="00462322" w:rsidRDefault="007C6F3B" w:rsidP="00C05D93">
      <w:pPr>
        <w:jc w:val="both"/>
        <w:rPr>
          <w:b/>
          <w:lang w:val="pt-BR"/>
        </w:rPr>
      </w:pPr>
      <w:r w:rsidRPr="00462322">
        <w:rPr>
          <w:b/>
          <w:lang w:val="pt-BR"/>
        </w:rPr>
        <w:t xml:space="preserve">Eixo </w:t>
      </w:r>
      <w:r w:rsidR="00C05D93" w:rsidRPr="00462322">
        <w:rPr>
          <w:b/>
          <w:lang w:val="pt-BR"/>
        </w:rPr>
        <w:t xml:space="preserve">3. </w:t>
      </w:r>
      <w:r w:rsidRPr="00462322">
        <w:rPr>
          <w:b/>
          <w:lang w:val="pt-BR"/>
        </w:rPr>
        <w:t>Processo, publicidade e encenação do arrependimento</w:t>
      </w:r>
    </w:p>
    <w:p w:rsidR="00C05D93" w:rsidRPr="00462322" w:rsidRDefault="007C6F3B" w:rsidP="00C05D93">
      <w:pPr>
        <w:jc w:val="both"/>
        <w:rPr>
          <w:lang w:val="pt-BR"/>
        </w:rPr>
      </w:pPr>
      <w:r w:rsidRPr="00462322">
        <w:rPr>
          <w:lang w:val="pt-BR"/>
        </w:rPr>
        <w:t>As inúmeras formas de arrependimento, tanto religiosas quanto profanas, interrogam o processo do arrependimento e suas etapas: de uma conscientização individual ou coletiva à organização de rituais, de encenação e de publicidade (no sentido de</w:t>
      </w:r>
      <w:r w:rsidR="00C05D93" w:rsidRPr="00462322">
        <w:rPr>
          <w:lang w:val="pt-BR"/>
        </w:rPr>
        <w:t xml:space="preserve"> Habermas), </w:t>
      </w:r>
      <w:r w:rsidRPr="00462322">
        <w:rPr>
          <w:lang w:val="pt-BR"/>
        </w:rPr>
        <w:t>de usos estratégicos à interrogação aprofundada sobre a história, das práticas museais, memoriais ou comemorativas à evidenciação da complexidade histórica, de que modo o arrependimento era praticado e se pratica atualmente?</w:t>
      </w:r>
    </w:p>
    <w:p w:rsidR="00C05D93" w:rsidRPr="00462322" w:rsidRDefault="007C6F3B" w:rsidP="00C05D93">
      <w:pPr>
        <w:jc w:val="both"/>
        <w:rPr>
          <w:b/>
          <w:lang w:val="pt-BR"/>
        </w:rPr>
      </w:pPr>
      <w:r w:rsidRPr="00462322">
        <w:rPr>
          <w:b/>
          <w:lang w:val="pt-BR"/>
        </w:rPr>
        <w:t xml:space="preserve">Eixo </w:t>
      </w:r>
      <w:r w:rsidR="00C05D93" w:rsidRPr="00462322">
        <w:rPr>
          <w:b/>
          <w:lang w:val="pt-BR"/>
        </w:rPr>
        <w:t xml:space="preserve">4. </w:t>
      </w:r>
      <w:r w:rsidRPr="00462322">
        <w:rPr>
          <w:b/>
          <w:lang w:val="pt-BR"/>
        </w:rPr>
        <w:t>O arrependimento, quais expectativas</w:t>
      </w:r>
      <w:r w:rsidR="00C05D93" w:rsidRPr="00462322">
        <w:rPr>
          <w:b/>
          <w:lang w:val="pt-BR"/>
        </w:rPr>
        <w:t> ?</w:t>
      </w:r>
    </w:p>
    <w:p w:rsidR="00C05D93" w:rsidRPr="00462322" w:rsidRDefault="007C6F3B" w:rsidP="00C05D93">
      <w:pPr>
        <w:jc w:val="both"/>
        <w:rPr>
          <w:lang w:val="pt-BR"/>
        </w:rPr>
      </w:pPr>
      <w:r w:rsidRPr="00462322">
        <w:rPr>
          <w:lang w:val="pt-BR"/>
        </w:rPr>
        <w:t>O que se deve esperar do arrependimento? Qual a natureza da “página em branco” que ele pretende abrir? De que modo o</w:t>
      </w:r>
      <w:r w:rsidR="00462322" w:rsidRPr="00462322">
        <w:rPr>
          <w:lang w:val="pt-BR"/>
        </w:rPr>
        <w:t xml:space="preserve"> arrependimento pode ajudar a conciliar memória e perdão, reconhecimento (de uma falta) e reconciliação, antagonismos e identidades? Sem estudar as continuações do arrependimento, tratar-se-á de centrar as proposições sobre os debates e interrogações que acompanham o arrependimento, os “custos” e “benefícios” (muitas vezes simbólicos) esperados pelo arrependimento.</w:t>
      </w:r>
      <w:r w:rsidR="00C05D93" w:rsidRPr="00462322">
        <w:rPr>
          <w:lang w:val="pt-BR"/>
        </w:rPr>
        <w:t xml:space="preserve"> </w:t>
      </w:r>
    </w:p>
    <w:p w:rsidR="00C05D93" w:rsidRPr="00462322" w:rsidRDefault="00462322" w:rsidP="00C05D93">
      <w:pPr>
        <w:jc w:val="both"/>
        <w:rPr>
          <w:rFonts w:ascii="Calibri" w:eastAsia="Calibri" w:hAnsi="Calibri" w:cs="Times New Roman"/>
          <w:b/>
          <w:bCs/>
          <w:lang w:val="pt-BR"/>
        </w:rPr>
      </w:pPr>
      <w:r w:rsidRPr="00462322">
        <w:rPr>
          <w:rFonts w:ascii="Calibri" w:eastAsia="Calibri" w:hAnsi="Calibri" w:cs="Times New Roman"/>
          <w:b/>
          <w:bCs/>
          <w:lang w:val="pt-BR"/>
        </w:rPr>
        <w:t>Modalidades de proposta de uma comunicação</w:t>
      </w:r>
    </w:p>
    <w:p w:rsidR="00C05D93" w:rsidRPr="00462322" w:rsidRDefault="00462322" w:rsidP="002A5E5F">
      <w:pPr>
        <w:spacing w:after="0"/>
        <w:jc w:val="both"/>
        <w:rPr>
          <w:rFonts w:ascii="Calibri" w:eastAsia="Calibri" w:hAnsi="Calibri" w:cs="Times New Roman"/>
          <w:lang w:val="pt-BR"/>
        </w:rPr>
      </w:pPr>
      <w:r w:rsidRPr="00462322">
        <w:rPr>
          <w:rFonts w:ascii="Calibri" w:eastAsia="Calibri" w:hAnsi="Calibri" w:cs="Times New Roman"/>
          <w:lang w:val="pt-BR"/>
        </w:rPr>
        <w:t>Idioma da proposta: francês, inglês, português, espanhol, alemão</w:t>
      </w:r>
      <w:r w:rsidR="00C05D93" w:rsidRPr="00462322">
        <w:rPr>
          <w:rFonts w:ascii="Calibri" w:eastAsia="Calibri" w:hAnsi="Calibri" w:cs="Times New Roman"/>
          <w:lang w:val="pt-BR"/>
        </w:rPr>
        <w:t>.</w:t>
      </w:r>
    </w:p>
    <w:p w:rsidR="00C05D93" w:rsidRPr="00462322" w:rsidRDefault="00462322" w:rsidP="002A5E5F">
      <w:pPr>
        <w:spacing w:after="0"/>
        <w:jc w:val="both"/>
        <w:rPr>
          <w:rFonts w:ascii="Calibri" w:eastAsia="Calibri" w:hAnsi="Calibri" w:cs="Times New Roman"/>
          <w:lang w:val="pt-BR"/>
        </w:rPr>
      </w:pPr>
      <w:r w:rsidRPr="00462322">
        <w:rPr>
          <w:rFonts w:ascii="Calibri" w:eastAsia="Calibri" w:hAnsi="Calibri" w:cs="Times New Roman"/>
          <w:lang w:val="pt-BR"/>
        </w:rPr>
        <w:t xml:space="preserve">Idioma do colóquio : francês, inglês </w:t>
      </w:r>
      <w:r w:rsidR="00C05D93" w:rsidRPr="00462322">
        <w:rPr>
          <w:rFonts w:ascii="Calibri" w:eastAsia="Calibri" w:hAnsi="Calibri" w:cs="Times New Roman"/>
          <w:lang w:val="pt-BR"/>
        </w:rPr>
        <w:t>(</w:t>
      </w:r>
      <w:r w:rsidRPr="00462322">
        <w:rPr>
          <w:rFonts w:ascii="Calibri" w:eastAsia="Calibri" w:hAnsi="Calibri" w:cs="Times New Roman"/>
          <w:lang w:val="pt-BR"/>
        </w:rPr>
        <w:t>há, eventualmente, a possibilidade de traduções simultâneas em função dos pedidos</w:t>
      </w:r>
      <w:r w:rsidR="00C05D93" w:rsidRPr="00462322">
        <w:rPr>
          <w:rFonts w:ascii="Calibri" w:eastAsia="Calibri" w:hAnsi="Calibri" w:cs="Times New Roman"/>
          <w:lang w:val="pt-BR"/>
        </w:rPr>
        <w:t>)</w:t>
      </w:r>
    </w:p>
    <w:p w:rsidR="00C05D93" w:rsidRPr="00462322" w:rsidRDefault="00462322" w:rsidP="002A5E5F">
      <w:pPr>
        <w:spacing w:after="0"/>
        <w:jc w:val="both"/>
        <w:rPr>
          <w:rFonts w:ascii="Calibri" w:eastAsia="Calibri" w:hAnsi="Calibri" w:cs="Times New Roman"/>
          <w:lang w:val="pt-BR"/>
        </w:rPr>
      </w:pPr>
      <w:r w:rsidRPr="00462322">
        <w:rPr>
          <w:rFonts w:ascii="Calibri" w:eastAsia="Calibri" w:hAnsi="Calibri" w:cs="Times New Roman"/>
          <w:lang w:val="pt-BR"/>
        </w:rPr>
        <w:t>A proposta de contribuição deverá ser apresentada da seguinte forma</w:t>
      </w:r>
      <w:r w:rsidR="00C05D93" w:rsidRPr="00462322">
        <w:rPr>
          <w:rFonts w:ascii="Calibri" w:eastAsia="Calibri" w:hAnsi="Calibri" w:cs="Times New Roman"/>
          <w:lang w:val="pt-BR"/>
        </w:rPr>
        <w:t>:</w:t>
      </w:r>
    </w:p>
    <w:p w:rsidR="00C05D93" w:rsidRPr="00462322" w:rsidRDefault="00462322" w:rsidP="002A5E5F">
      <w:pPr>
        <w:numPr>
          <w:ilvl w:val="0"/>
          <w:numId w:val="1"/>
        </w:numPr>
        <w:spacing w:after="0"/>
        <w:jc w:val="both"/>
        <w:rPr>
          <w:rFonts w:ascii="Calibri" w:eastAsia="Calibri" w:hAnsi="Calibri" w:cs="Times New Roman"/>
          <w:lang w:val="pt-BR"/>
        </w:rPr>
      </w:pPr>
      <w:r w:rsidRPr="00462322">
        <w:rPr>
          <w:rFonts w:ascii="Calibri" w:eastAsia="Calibri" w:hAnsi="Calibri" w:cs="Times New Roman"/>
          <w:lang w:val="pt-BR"/>
        </w:rPr>
        <w:t>Dados pessoais exatos (nome, sobrenome, função, estabelecimento de subordinação: universidade e laboratório, endereço de e-mail de cada autor)</w:t>
      </w:r>
      <w:r w:rsidR="00C05D93" w:rsidRPr="00462322">
        <w:rPr>
          <w:rFonts w:ascii="Calibri" w:eastAsia="Calibri" w:hAnsi="Calibri" w:cs="Times New Roman"/>
          <w:lang w:val="pt-BR"/>
        </w:rPr>
        <w:t>,</w:t>
      </w:r>
    </w:p>
    <w:p w:rsidR="00C05D93" w:rsidRPr="00462322" w:rsidRDefault="00462322" w:rsidP="002A5E5F">
      <w:pPr>
        <w:numPr>
          <w:ilvl w:val="0"/>
          <w:numId w:val="1"/>
        </w:numPr>
        <w:spacing w:after="0"/>
        <w:jc w:val="both"/>
        <w:rPr>
          <w:rFonts w:ascii="Calibri" w:eastAsia="Calibri" w:hAnsi="Calibri" w:cs="Times New Roman"/>
          <w:lang w:val="pt-BR"/>
        </w:rPr>
      </w:pPr>
      <w:r w:rsidRPr="00462322">
        <w:rPr>
          <w:rFonts w:ascii="Calibri" w:eastAsia="Calibri" w:hAnsi="Calibri" w:cs="Times New Roman"/>
          <w:lang w:val="pt-BR"/>
        </w:rPr>
        <w:t>Título da comunicação, seguido do eixo escolhido,</w:t>
      </w:r>
    </w:p>
    <w:p w:rsidR="00C05D93" w:rsidRPr="00462322" w:rsidRDefault="00462322" w:rsidP="002A5E5F">
      <w:pPr>
        <w:numPr>
          <w:ilvl w:val="0"/>
          <w:numId w:val="1"/>
        </w:numPr>
        <w:spacing w:after="0"/>
        <w:jc w:val="both"/>
        <w:rPr>
          <w:lang w:val="pt-BR"/>
        </w:rPr>
      </w:pPr>
      <w:r w:rsidRPr="00462322">
        <w:rPr>
          <w:rFonts w:ascii="Calibri" w:eastAsia="Calibri" w:hAnsi="Calibri" w:cs="Times New Roman"/>
          <w:lang w:val="pt-BR"/>
        </w:rPr>
        <w:t>Resumo da proposta, com cerca de 2.</w:t>
      </w:r>
      <w:r w:rsidR="00C05D93" w:rsidRPr="00462322">
        <w:rPr>
          <w:rFonts w:ascii="Calibri" w:eastAsia="Calibri" w:hAnsi="Calibri" w:cs="Times New Roman"/>
          <w:lang w:val="pt-BR"/>
        </w:rPr>
        <w:t>50</w:t>
      </w:r>
      <w:r w:rsidRPr="00462322">
        <w:rPr>
          <w:rFonts w:ascii="Calibri" w:eastAsia="Calibri" w:hAnsi="Calibri" w:cs="Times New Roman"/>
          <w:lang w:val="pt-BR"/>
        </w:rPr>
        <w:t>0 a</w:t>
      </w:r>
      <w:r w:rsidR="00C05D93" w:rsidRPr="00462322">
        <w:rPr>
          <w:rFonts w:ascii="Calibri" w:eastAsia="Calibri" w:hAnsi="Calibri" w:cs="Times New Roman"/>
          <w:lang w:val="pt-BR"/>
        </w:rPr>
        <w:t xml:space="preserve"> 5</w:t>
      </w:r>
      <w:r w:rsidRPr="00462322">
        <w:rPr>
          <w:rFonts w:ascii="Calibri" w:eastAsia="Calibri" w:hAnsi="Calibri" w:cs="Times New Roman"/>
          <w:lang w:val="pt-BR"/>
        </w:rPr>
        <w:t>.</w:t>
      </w:r>
      <w:r w:rsidR="00C05D93" w:rsidRPr="00462322">
        <w:rPr>
          <w:rFonts w:ascii="Calibri" w:eastAsia="Calibri" w:hAnsi="Calibri" w:cs="Times New Roman"/>
          <w:lang w:val="pt-BR"/>
        </w:rPr>
        <w:t xml:space="preserve">000 </w:t>
      </w:r>
      <w:r w:rsidRPr="00462322">
        <w:rPr>
          <w:rFonts w:ascii="Calibri" w:eastAsia="Calibri" w:hAnsi="Calibri" w:cs="Times New Roman"/>
          <w:lang w:val="pt-BR"/>
        </w:rPr>
        <w:t>caracteres, sem contar as referências bibliográficas a citar no final do texto</w:t>
      </w:r>
      <w:r w:rsidR="00C05D93" w:rsidRPr="00462322">
        <w:rPr>
          <w:rFonts w:ascii="Calibri" w:eastAsia="Calibri" w:hAnsi="Calibri" w:cs="Times New Roman"/>
          <w:lang w:val="pt-BR"/>
        </w:rPr>
        <w:t xml:space="preserve"> (format</w:t>
      </w:r>
      <w:r w:rsidRPr="00462322">
        <w:rPr>
          <w:rFonts w:ascii="Calibri" w:eastAsia="Calibri" w:hAnsi="Calibri" w:cs="Times New Roman"/>
          <w:lang w:val="pt-BR"/>
        </w:rPr>
        <w:t>o</w:t>
      </w:r>
      <w:r w:rsidR="00C05D93" w:rsidRPr="00462322">
        <w:rPr>
          <w:rFonts w:ascii="Calibri" w:eastAsia="Calibri" w:hAnsi="Calibri" w:cs="Times New Roman"/>
          <w:lang w:val="pt-BR"/>
        </w:rPr>
        <w:t xml:space="preserve"> WORD, ODT ou </w:t>
      </w:r>
      <w:r w:rsidRPr="00462322">
        <w:rPr>
          <w:rFonts w:ascii="Calibri" w:eastAsia="Calibri" w:hAnsi="Calibri" w:cs="Times New Roman"/>
          <w:lang w:val="pt-BR"/>
        </w:rPr>
        <w:t>compatível</w:t>
      </w:r>
      <w:r w:rsidR="00C05D93" w:rsidRPr="00462322">
        <w:rPr>
          <w:rFonts w:ascii="Calibri" w:eastAsia="Calibri" w:hAnsi="Calibri" w:cs="Times New Roman"/>
          <w:lang w:val="pt-BR"/>
        </w:rPr>
        <w:t>),</w:t>
      </w:r>
    </w:p>
    <w:p w:rsidR="00C05D93" w:rsidRPr="00462322" w:rsidRDefault="00C05D93" w:rsidP="002A5E5F">
      <w:pPr>
        <w:numPr>
          <w:ilvl w:val="0"/>
          <w:numId w:val="1"/>
        </w:numPr>
        <w:spacing w:after="0"/>
        <w:jc w:val="both"/>
        <w:rPr>
          <w:lang w:val="pt-BR"/>
        </w:rPr>
      </w:pPr>
      <w:r w:rsidRPr="00462322">
        <w:rPr>
          <w:lang w:val="pt-BR"/>
        </w:rPr>
        <w:lastRenderedPageBreak/>
        <w:t>U</w:t>
      </w:r>
      <w:r w:rsidR="00462322" w:rsidRPr="00462322">
        <w:rPr>
          <w:lang w:val="pt-BR"/>
        </w:rPr>
        <w:t>m breve Currículo</w:t>
      </w:r>
      <w:r w:rsidR="00A26595">
        <w:rPr>
          <w:lang w:val="pt-BR"/>
        </w:rPr>
        <w:t>,</w:t>
      </w:r>
      <w:r w:rsidR="00462322" w:rsidRPr="00462322">
        <w:rPr>
          <w:lang w:val="pt-BR"/>
        </w:rPr>
        <w:t xml:space="preserve"> de no máximo 10 linhas</w:t>
      </w:r>
      <w:r w:rsidR="00A26595">
        <w:rPr>
          <w:lang w:val="pt-BR"/>
        </w:rPr>
        <w:t>,</w:t>
      </w:r>
      <w:r w:rsidR="00462322" w:rsidRPr="00462322">
        <w:rPr>
          <w:lang w:val="pt-BR"/>
        </w:rPr>
        <w:t xml:space="preserve"> poderá ser anexado à proposta.</w:t>
      </w:r>
    </w:p>
    <w:p w:rsidR="00C05D93" w:rsidRPr="00462322" w:rsidRDefault="00A26595" w:rsidP="002A5E5F">
      <w:pPr>
        <w:spacing w:after="0"/>
        <w:jc w:val="both"/>
        <w:rPr>
          <w:rFonts w:ascii="Calibri" w:eastAsia="Calibri" w:hAnsi="Calibri" w:cs="Times New Roman"/>
          <w:lang w:val="pt-BR"/>
        </w:rPr>
      </w:pPr>
      <w:r>
        <w:rPr>
          <w:rFonts w:ascii="Calibri" w:eastAsia="Calibri" w:hAnsi="Calibri" w:cs="Times New Roman"/>
          <w:lang w:val="pt-BR"/>
        </w:rPr>
        <w:t>Esta</w:t>
      </w:r>
      <w:r w:rsidR="00462322" w:rsidRPr="00462322">
        <w:rPr>
          <w:rFonts w:ascii="Calibri" w:eastAsia="Calibri" w:hAnsi="Calibri" w:cs="Times New Roman"/>
          <w:lang w:val="pt-BR"/>
        </w:rPr>
        <w:t xml:space="preserve"> será enviada paralelamente</w:t>
      </w:r>
      <w:r>
        <w:rPr>
          <w:rFonts w:ascii="Calibri" w:eastAsia="Calibri" w:hAnsi="Calibri" w:cs="Times New Roman"/>
          <w:lang w:val="pt-BR"/>
        </w:rPr>
        <w:t xml:space="preserve">, </w:t>
      </w:r>
      <w:r w:rsidR="00462322" w:rsidRPr="00462322">
        <w:rPr>
          <w:rFonts w:ascii="Calibri" w:eastAsia="Calibri" w:hAnsi="Calibri" w:cs="Times New Roman"/>
          <w:lang w:val="pt-BR"/>
        </w:rPr>
        <w:t>via e-mail</w:t>
      </w:r>
      <w:r>
        <w:rPr>
          <w:rFonts w:ascii="Calibri" w:eastAsia="Calibri" w:hAnsi="Calibri" w:cs="Times New Roman"/>
          <w:lang w:val="pt-BR"/>
        </w:rPr>
        <w:t>,</w:t>
      </w:r>
      <w:r w:rsidR="00462322" w:rsidRPr="00462322">
        <w:rPr>
          <w:rFonts w:ascii="Calibri" w:eastAsia="Calibri" w:hAnsi="Calibri" w:cs="Times New Roman"/>
          <w:lang w:val="pt-BR"/>
        </w:rPr>
        <w:t xml:space="preserve"> a</w:t>
      </w:r>
      <w:r w:rsidR="00C05D93" w:rsidRPr="00462322">
        <w:rPr>
          <w:rFonts w:ascii="Calibri" w:eastAsia="Calibri" w:hAnsi="Calibri" w:cs="Times New Roman"/>
          <w:lang w:val="pt-BR"/>
        </w:rPr>
        <w:t xml:space="preserve"> Pierre Leroux (</w:t>
      </w:r>
      <w:hyperlink r:id="rId8" w:history="1">
        <w:r w:rsidR="00C05D93" w:rsidRPr="00462322">
          <w:rPr>
            <w:rFonts w:ascii="Calibri" w:eastAsia="Calibri" w:hAnsi="Calibri" w:cs="Times New Roman"/>
            <w:color w:val="0000FF"/>
            <w:u w:val="single"/>
            <w:lang w:val="pt-BR"/>
          </w:rPr>
          <w:t>pierre.leroux@uco.fr</w:t>
        </w:r>
      </w:hyperlink>
      <w:r w:rsidR="00462322" w:rsidRPr="00462322">
        <w:rPr>
          <w:rFonts w:ascii="Calibri" w:eastAsia="Calibri" w:hAnsi="Calibri" w:cs="Times New Roman"/>
          <w:lang w:val="pt-BR"/>
        </w:rPr>
        <w:t>) e</w:t>
      </w:r>
      <w:r w:rsidR="00B25ED8" w:rsidRPr="00462322">
        <w:rPr>
          <w:rFonts w:ascii="Calibri" w:eastAsia="Calibri" w:hAnsi="Calibri" w:cs="Times New Roman"/>
          <w:lang w:val="pt-BR"/>
        </w:rPr>
        <w:t xml:space="preserve"> Frédérique Poulet</w:t>
      </w:r>
      <w:r w:rsidR="00C05D93" w:rsidRPr="00462322">
        <w:rPr>
          <w:rFonts w:ascii="Calibri" w:eastAsia="Calibri" w:hAnsi="Calibri" w:cs="Times New Roman"/>
          <w:lang w:val="pt-BR"/>
        </w:rPr>
        <w:t xml:space="preserve"> (</w:t>
      </w:r>
      <w:r w:rsidR="00C05D93" w:rsidRPr="00462322">
        <w:rPr>
          <w:lang w:val="pt-BR"/>
        </w:rPr>
        <w:t>frederique.poulet@uco.fr).</w:t>
      </w:r>
    </w:p>
    <w:p w:rsidR="00A26595" w:rsidRDefault="00A26595" w:rsidP="00C05D93">
      <w:pPr>
        <w:spacing w:after="0"/>
        <w:jc w:val="both"/>
        <w:rPr>
          <w:rFonts w:ascii="Calibri" w:eastAsia="Calibri" w:hAnsi="Calibri" w:cs="Times New Roman"/>
          <w:b/>
          <w:bCs/>
          <w:lang w:val="pt-BR"/>
        </w:rPr>
      </w:pPr>
    </w:p>
    <w:p w:rsidR="00C05D93" w:rsidRPr="00462322" w:rsidRDefault="00C05D93" w:rsidP="00C05D93">
      <w:pPr>
        <w:spacing w:after="0"/>
        <w:jc w:val="both"/>
        <w:rPr>
          <w:rFonts w:ascii="Calibri" w:eastAsia="Calibri" w:hAnsi="Calibri" w:cs="Times New Roman"/>
          <w:b/>
          <w:bCs/>
          <w:lang w:val="pt-BR"/>
        </w:rPr>
      </w:pPr>
      <w:r w:rsidRPr="00462322">
        <w:rPr>
          <w:rFonts w:ascii="Calibri" w:eastAsia="Calibri" w:hAnsi="Calibri" w:cs="Times New Roman"/>
          <w:b/>
          <w:bCs/>
          <w:lang w:val="pt-BR"/>
        </w:rPr>
        <w:t>Dat</w:t>
      </w:r>
      <w:r w:rsidR="00462322" w:rsidRPr="00462322">
        <w:rPr>
          <w:rFonts w:ascii="Calibri" w:eastAsia="Calibri" w:hAnsi="Calibri" w:cs="Times New Roman"/>
          <w:b/>
          <w:bCs/>
          <w:lang w:val="pt-BR"/>
        </w:rPr>
        <w:t>a</w:t>
      </w:r>
      <w:r w:rsidRPr="00462322">
        <w:rPr>
          <w:rFonts w:ascii="Calibri" w:eastAsia="Calibri" w:hAnsi="Calibri" w:cs="Times New Roman"/>
          <w:b/>
          <w:bCs/>
          <w:lang w:val="pt-BR"/>
        </w:rPr>
        <w:t xml:space="preserve"> limite de </w:t>
      </w:r>
      <w:r w:rsidR="00462322" w:rsidRPr="00462322">
        <w:rPr>
          <w:rFonts w:ascii="Calibri" w:eastAsia="Calibri" w:hAnsi="Calibri" w:cs="Times New Roman"/>
          <w:b/>
          <w:bCs/>
          <w:lang w:val="pt-BR"/>
        </w:rPr>
        <w:t>envio das propostas</w:t>
      </w:r>
      <w:r w:rsidR="006C511C">
        <w:rPr>
          <w:rFonts w:ascii="Calibri" w:eastAsia="Calibri" w:hAnsi="Calibri" w:cs="Times New Roman"/>
          <w:b/>
          <w:bCs/>
          <w:lang w:val="pt-BR"/>
        </w:rPr>
        <w:t>: 31</w:t>
      </w:r>
      <w:r w:rsidR="00462322" w:rsidRPr="00462322">
        <w:rPr>
          <w:rFonts w:ascii="Calibri" w:eastAsia="Calibri" w:hAnsi="Calibri" w:cs="Times New Roman"/>
          <w:b/>
          <w:bCs/>
          <w:lang w:val="pt-BR"/>
        </w:rPr>
        <w:t xml:space="preserve"> de </w:t>
      </w:r>
      <w:r w:rsidR="006C511C">
        <w:rPr>
          <w:rFonts w:ascii="Calibri" w:eastAsia="Calibri" w:hAnsi="Calibri" w:cs="Times New Roman"/>
          <w:b/>
          <w:bCs/>
          <w:lang w:val="pt-BR"/>
        </w:rPr>
        <w:t>março</w:t>
      </w:r>
      <w:r w:rsidR="00462322" w:rsidRPr="00462322">
        <w:rPr>
          <w:rFonts w:ascii="Calibri" w:eastAsia="Calibri" w:hAnsi="Calibri" w:cs="Times New Roman"/>
          <w:b/>
          <w:bCs/>
          <w:lang w:val="pt-BR"/>
        </w:rPr>
        <w:t xml:space="preserve"> de</w:t>
      </w:r>
      <w:r w:rsidRPr="00462322">
        <w:rPr>
          <w:rFonts w:ascii="Calibri" w:eastAsia="Calibri" w:hAnsi="Calibri" w:cs="Times New Roman"/>
          <w:b/>
          <w:bCs/>
          <w:lang w:val="pt-BR"/>
        </w:rPr>
        <w:t xml:space="preserve"> 2016</w:t>
      </w:r>
      <w:r w:rsidRPr="00462322">
        <w:rPr>
          <w:rFonts w:ascii="Calibri" w:eastAsia="Calibri" w:hAnsi="Calibri" w:cs="Times New Roman"/>
          <w:b/>
          <w:bCs/>
          <w:lang w:val="pt-BR"/>
        </w:rPr>
        <w:tab/>
      </w:r>
    </w:p>
    <w:p w:rsidR="00072615" w:rsidRDefault="00072615" w:rsidP="00C05D93">
      <w:pPr>
        <w:jc w:val="both"/>
        <w:rPr>
          <w:rFonts w:ascii="Calibri" w:eastAsia="Calibri" w:hAnsi="Calibri" w:cs="Times New Roman"/>
          <w:b/>
          <w:bCs/>
          <w:lang w:val="pt-BR"/>
        </w:rPr>
      </w:pPr>
    </w:p>
    <w:p w:rsidR="00C05D93" w:rsidRPr="00462322" w:rsidRDefault="00462322" w:rsidP="00C05D93">
      <w:pPr>
        <w:jc w:val="both"/>
        <w:rPr>
          <w:rFonts w:ascii="Calibri" w:eastAsia="Calibri" w:hAnsi="Calibri" w:cs="Times New Roman"/>
          <w:b/>
          <w:bCs/>
          <w:lang w:val="pt-BR"/>
        </w:rPr>
      </w:pPr>
      <w:r w:rsidRPr="00462322">
        <w:rPr>
          <w:rFonts w:ascii="Calibri" w:eastAsia="Calibri" w:hAnsi="Calibri" w:cs="Times New Roman"/>
          <w:b/>
          <w:bCs/>
          <w:lang w:val="pt-BR"/>
        </w:rPr>
        <w:t>Avaliação das propostas</w:t>
      </w:r>
    </w:p>
    <w:p w:rsidR="00C05D93" w:rsidRPr="00462322" w:rsidRDefault="00462322" w:rsidP="002A5E5F">
      <w:pPr>
        <w:spacing w:after="0"/>
        <w:jc w:val="both"/>
        <w:rPr>
          <w:rFonts w:ascii="Calibri" w:eastAsia="Calibri" w:hAnsi="Calibri" w:cs="Times New Roman"/>
          <w:lang w:val="pt-BR"/>
        </w:rPr>
      </w:pPr>
      <w:r w:rsidRPr="00462322">
        <w:rPr>
          <w:rFonts w:ascii="Calibri" w:eastAsia="Calibri" w:hAnsi="Calibri" w:cs="Times New Roman"/>
          <w:lang w:val="pt-BR"/>
        </w:rPr>
        <w:t xml:space="preserve">Cada proposta será submetida a uma avaliação anônima </w:t>
      </w:r>
      <w:r w:rsidR="00A26595">
        <w:rPr>
          <w:rFonts w:ascii="Calibri" w:eastAsia="Calibri" w:hAnsi="Calibri" w:cs="Times New Roman"/>
          <w:lang w:val="pt-BR"/>
        </w:rPr>
        <w:t>em paralelo</w:t>
      </w:r>
      <w:r w:rsidRPr="00462322">
        <w:rPr>
          <w:rFonts w:ascii="Calibri" w:eastAsia="Calibri" w:hAnsi="Calibri" w:cs="Times New Roman"/>
          <w:lang w:val="pt-BR"/>
        </w:rPr>
        <w:t xml:space="preserve"> por dois membros do comitê científico</w:t>
      </w:r>
      <w:r w:rsidR="00C05D93" w:rsidRPr="00462322">
        <w:rPr>
          <w:rFonts w:ascii="Calibri" w:eastAsia="Calibri" w:hAnsi="Calibri" w:cs="Times New Roman"/>
          <w:lang w:val="pt-BR"/>
        </w:rPr>
        <w:t xml:space="preserve">.  </w:t>
      </w:r>
    </w:p>
    <w:p w:rsidR="00C05D93" w:rsidRPr="00462322" w:rsidRDefault="00462322" w:rsidP="002A5E5F">
      <w:pPr>
        <w:spacing w:after="0"/>
        <w:jc w:val="both"/>
        <w:rPr>
          <w:rFonts w:ascii="Calibri" w:eastAsia="Calibri" w:hAnsi="Calibri" w:cs="Times New Roman"/>
          <w:lang w:val="pt-BR"/>
        </w:rPr>
      </w:pPr>
      <w:r w:rsidRPr="00462322">
        <w:rPr>
          <w:rFonts w:ascii="Calibri" w:eastAsia="Calibri" w:hAnsi="Calibri" w:cs="Times New Roman"/>
          <w:lang w:val="pt-BR"/>
        </w:rPr>
        <w:t>Os autor</w:t>
      </w:r>
      <w:r w:rsidR="00B73779" w:rsidRPr="00462322">
        <w:rPr>
          <w:rFonts w:ascii="Calibri" w:eastAsia="Calibri" w:hAnsi="Calibri" w:cs="Times New Roman"/>
          <w:lang w:val="pt-BR"/>
        </w:rPr>
        <w:t>e</w:t>
      </w:r>
      <w:r w:rsidRPr="00462322">
        <w:rPr>
          <w:rFonts w:ascii="Calibri" w:eastAsia="Calibri" w:hAnsi="Calibri" w:cs="Times New Roman"/>
          <w:lang w:val="pt-BR"/>
        </w:rPr>
        <w:t>s</w:t>
      </w:r>
      <w:r w:rsidR="00A26595">
        <w:rPr>
          <w:rFonts w:ascii="Calibri" w:eastAsia="Calibri" w:hAnsi="Calibri" w:cs="Times New Roman"/>
          <w:lang w:val="pt-BR"/>
        </w:rPr>
        <w:t xml:space="preserve"> </w:t>
      </w:r>
      <w:r w:rsidRPr="00462322">
        <w:rPr>
          <w:rFonts w:ascii="Calibri" w:eastAsia="Calibri" w:hAnsi="Calibri" w:cs="Times New Roman"/>
          <w:lang w:val="pt-BR"/>
        </w:rPr>
        <w:t>das propostas selecionadas serão informados via e-mail antes do dia 1° de abril de</w:t>
      </w:r>
      <w:r w:rsidR="00C05D93" w:rsidRPr="00462322">
        <w:rPr>
          <w:rFonts w:ascii="Calibri" w:eastAsia="Calibri" w:hAnsi="Calibri" w:cs="Times New Roman"/>
          <w:lang w:val="pt-BR"/>
        </w:rPr>
        <w:t xml:space="preserve"> 2016.</w:t>
      </w:r>
    </w:p>
    <w:p w:rsidR="00C7501C" w:rsidRPr="00462322" w:rsidRDefault="00462322" w:rsidP="00B73779">
      <w:pPr>
        <w:spacing w:after="0"/>
        <w:jc w:val="both"/>
        <w:rPr>
          <w:b/>
          <w:lang w:val="pt-BR"/>
        </w:rPr>
      </w:pPr>
      <w:r w:rsidRPr="00462322">
        <w:rPr>
          <w:b/>
          <w:lang w:val="pt-BR"/>
        </w:rPr>
        <w:t>A participação no colóquio requer, imperativamente, o envio</w:t>
      </w:r>
      <w:r w:rsidR="00C05D93" w:rsidRPr="00462322">
        <w:rPr>
          <w:b/>
          <w:lang w:val="pt-BR"/>
        </w:rPr>
        <w:t xml:space="preserve"> </w:t>
      </w:r>
      <w:r w:rsidRPr="00462322">
        <w:rPr>
          <w:b/>
          <w:lang w:val="pt-BR"/>
        </w:rPr>
        <w:t>do texto da comunicação até, no máximo, o dia 1° de janeiro de</w:t>
      </w:r>
      <w:r w:rsidR="00C05D93" w:rsidRPr="00462322">
        <w:rPr>
          <w:b/>
          <w:lang w:val="pt-BR"/>
        </w:rPr>
        <w:t xml:space="preserve"> 2017. </w:t>
      </w:r>
    </w:p>
    <w:p w:rsidR="00D079D3" w:rsidRPr="00462322" w:rsidRDefault="00D079D3" w:rsidP="00B73779">
      <w:pPr>
        <w:spacing w:after="0"/>
        <w:jc w:val="both"/>
        <w:rPr>
          <w:b/>
          <w:lang w:val="pt-BR"/>
        </w:rPr>
      </w:pPr>
    </w:p>
    <w:p w:rsidR="00D079D3" w:rsidRDefault="00462322" w:rsidP="00D079D3">
      <w:pPr>
        <w:jc w:val="both"/>
        <w:rPr>
          <w:b/>
          <w:lang w:val="pt-BR"/>
        </w:rPr>
      </w:pPr>
      <w:r w:rsidRPr="00462322">
        <w:rPr>
          <w:b/>
          <w:lang w:val="pt-BR"/>
        </w:rPr>
        <w:t>Comitê de organização</w:t>
      </w:r>
      <w:r w:rsidR="00D079D3" w:rsidRPr="00462322">
        <w:rPr>
          <w:b/>
          <w:lang w:val="pt-BR"/>
        </w:rPr>
        <w:t xml:space="preserve">: </w:t>
      </w:r>
    </w:p>
    <w:p w:rsidR="00B36C98" w:rsidRPr="004C4898" w:rsidRDefault="003F6631" w:rsidP="00B36C98">
      <w:pPr>
        <w:jc w:val="both"/>
        <w:rPr>
          <w:lang w:val="de-DE"/>
        </w:rPr>
      </w:pPr>
      <w:r>
        <w:rPr>
          <w:lang w:val="de-DE"/>
        </w:rPr>
        <w:t>Responsàvei</w:t>
      </w:r>
      <w:r w:rsidR="00B36C98">
        <w:rPr>
          <w:lang w:val="de-DE"/>
        </w:rPr>
        <w:t>s</w:t>
      </w:r>
      <w:r w:rsidR="00B36C98" w:rsidRPr="004C4898">
        <w:rPr>
          <w:lang w:val="de-DE"/>
        </w:rPr>
        <w:t xml:space="preserve"> </w:t>
      </w:r>
      <w:r w:rsidR="00B36C98">
        <w:t xml:space="preserve">Jean-Claude Angoula (UGB Saint Louis / CSA Dakar), </w:t>
      </w:r>
      <w:r w:rsidR="00B36C98" w:rsidRPr="004C4898">
        <w:rPr>
          <w:lang w:val="de-DE"/>
        </w:rPr>
        <w:t>Pierre Leroux (UCO Angers),</w:t>
      </w:r>
    </w:p>
    <w:p w:rsidR="001F6244" w:rsidRPr="00B36C98" w:rsidRDefault="001F6244" w:rsidP="001F6244">
      <w:pPr>
        <w:jc w:val="both"/>
        <w:rPr>
          <w:lang w:val="de-DE"/>
        </w:rPr>
      </w:pPr>
      <w:r w:rsidRPr="00B36C98">
        <w:rPr>
          <w:lang w:val="de-DE"/>
        </w:rPr>
        <w:t>com Léon Diagne (UCAD Dakar / CSA Dakar), , Philippe Loiseau (UCO Angers), Henriette Mbaye (CSA Dakar), Dominique François Mendy (CESTI Dakar / CSA Dakar), Thérèse Ndione (CSA Dakar, Christophe Pichon (UCO Angers), Frédérique Poulet (UCO Angers), Blaise Pascal Sagna (CSA Dakar).</w:t>
      </w:r>
    </w:p>
    <w:p w:rsidR="00D079D3" w:rsidRDefault="00462322" w:rsidP="00D079D3">
      <w:pPr>
        <w:jc w:val="both"/>
        <w:rPr>
          <w:b/>
          <w:lang w:val="pt-BR"/>
        </w:rPr>
      </w:pPr>
      <w:r w:rsidRPr="00462322">
        <w:rPr>
          <w:b/>
          <w:lang w:val="pt-BR"/>
        </w:rPr>
        <w:t>Comitê científico</w:t>
      </w:r>
      <w:r w:rsidR="00D079D3" w:rsidRPr="00462322">
        <w:rPr>
          <w:b/>
          <w:lang w:val="pt-BR"/>
        </w:rPr>
        <w:t xml:space="preserve">: </w:t>
      </w:r>
    </w:p>
    <w:p w:rsidR="00EE3641" w:rsidRDefault="00EE3641" w:rsidP="00EE3641">
      <w:pPr>
        <w:jc w:val="both"/>
      </w:pPr>
      <w:r>
        <w:t xml:space="preserve">Béatrice Bouvier-Lafitte, UCO Angers, CoDiRe, Université de Nantes, France </w:t>
      </w:r>
    </w:p>
    <w:p w:rsidR="00EE3641" w:rsidRDefault="00EE3641" w:rsidP="00EE3641">
      <w:pPr>
        <w:jc w:val="both"/>
      </w:pPr>
      <w:r>
        <w:t>Magali Bessone, Université de Rennes 1, EA 1270 "Philosophie des Normes", IUF, France</w:t>
      </w:r>
    </w:p>
    <w:p w:rsidR="00EE3641" w:rsidRDefault="00EE3641" w:rsidP="00EE3641">
      <w:pPr>
        <w:jc w:val="both"/>
      </w:pPr>
      <w:r>
        <w:t>Yvon César Banackissa, CSA Dakar, Sénégal</w:t>
      </w:r>
    </w:p>
    <w:p w:rsidR="00EE3641" w:rsidRPr="00B62B01" w:rsidRDefault="00EE3641" w:rsidP="00EE3641">
      <w:pPr>
        <w:jc w:val="both"/>
      </w:pPr>
      <w:r w:rsidRPr="00B62B01">
        <w:t>Léon Diagne, UCAD Dakar / CSA Dakar</w:t>
      </w:r>
      <w:r>
        <w:t>, Sénégal</w:t>
      </w:r>
    </w:p>
    <w:p w:rsidR="00EE3641" w:rsidRDefault="00EE3641" w:rsidP="00EE3641">
      <w:pPr>
        <w:jc w:val="both"/>
      </w:pPr>
      <w:r>
        <w:t xml:space="preserve">Jeanne Hersant, </w:t>
      </w:r>
      <w:r w:rsidRPr="00CD041A">
        <w:t>Centro de Estudios Avanzados, Universidad de Playa Ancha (Valparaíso</w:t>
      </w:r>
      <w:r>
        <w:t>)</w:t>
      </w:r>
      <w:r w:rsidRPr="00CD041A">
        <w:t>, Chile</w:t>
      </w:r>
    </w:p>
    <w:p w:rsidR="00EE3641" w:rsidRDefault="00EE3641" w:rsidP="00EE3641">
      <w:pPr>
        <w:jc w:val="both"/>
      </w:pPr>
      <w:r>
        <w:t>Renaud Hourcade, Université de Rennes 1, CRAPE, France</w:t>
      </w:r>
    </w:p>
    <w:p w:rsidR="00EE3641" w:rsidRDefault="00EE3641" w:rsidP="00EE3641">
      <w:pPr>
        <w:jc w:val="both"/>
      </w:pPr>
      <w:r>
        <w:t>Christian Le Bart, MSH Rennes, IEP de Rennes, France</w:t>
      </w:r>
    </w:p>
    <w:p w:rsidR="00EE3641" w:rsidRDefault="00EE3641" w:rsidP="00EE3641">
      <w:pPr>
        <w:jc w:val="both"/>
      </w:pPr>
      <w:r w:rsidRPr="002A1AFD">
        <w:t xml:space="preserve">Sandrine Lefranc, </w:t>
      </w:r>
      <w:r>
        <w:t>CNRS, Institut des Sciences sociales du Politique, Université de Paris Ouest Nanterre, ENS Cachan, France</w:t>
      </w:r>
    </w:p>
    <w:p w:rsidR="00EE3641" w:rsidRDefault="00EE3641" w:rsidP="00EE3641">
      <w:pPr>
        <w:jc w:val="both"/>
      </w:pPr>
      <w:r w:rsidRPr="005E5A8F">
        <w:t xml:space="preserve">Pierre Leroux, </w:t>
      </w:r>
      <w:r>
        <w:t>UCO, CRAPE IEP de Rennes, France</w:t>
      </w:r>
    </w:p>
    <w:p w:rsidR="00EE3641" w:rsidRDefault="00EE3641" w:rsidP="00EE3641">
      <w:pPr>
        <w:jc w:val="both"/>
      </w:pPr>
      <w:r>
        <w:t xml:space="preserve">Jean-Clément Martin, </w:t>
      </w:r>
      <w:r w:rsidRPr="005875AB">
        <w:t>Université Paris 1 Panthéon-Sorbonne</w:t>
      </w:r>
      <w:r>
        <w:t xml:space="preserve">, </w:t>
      </w:r>
      <w:r w:rsidRPr="005875AB">
        <w:t>Institut d’Histoire de la Révolution française (IHRF)</w:t>
      </w:r>
      <w:r>
        <w:t>, France</w:t>
      </w:r>
    </w:p>
    <w:p w:rsidR="00EE3641" w:rsidRPr="00B62B01" w:rsidRDefault="00EE3641" w:rsidP="00EE3641">
      <w:pPr>
        <w:jc w:val="both"/>
      </w:pPr>
      <w:r w:rsidRPr="00B62B01">
        <w:t>Henriette Mbaye, CSA Dakar</w:t>
      </w:r>
      <w:r>
        <w:t>, Sénégal</w:t>
      </w:r>
    </w:p>
    <w:p w:rsidR="00EE3641" w:rsidRPr="00B62B01" w:rsidRDefault="00EE3641" w:rsidP="00EE3641">
      <w:pPr>
        <w:jc w:val="both"/>
      </w:pPr>
      <w:r>
        <w:t xml:space="preserve">Dominique François Mendy, </w:t>
      </w:r>
      <w:r w:rsidRPr="00B62B01">
        <w:t>CESTI Dakar / CSA Dakar</w:t>
      </w:r>
      <w:r>
        <w:t>, Sénégal</w:t>
      </w:r>
    </w:p>
    <w:p w:rsidR="00EE3641" w:rsidRDefault="00EE3641" w:rsidP="00EE3641">
      <w:pPr>
        <w:jc w:val="both"/>
      </w:pPr>
      <w:r>
        <w:lastRenderedPageBreak/>
        <w:t xml:space="preserve">Johann Michel, </w:t>
      </w:r>
      <w:r w:rsidRPr="00FF0397">
        <w:t>Université de Poitiers</w:t>
      </w:r>
      <w:r>
        <w:t xml:space="preserve">, </w:t>
      </w:r>
      <w:r w:rsidRPr="00FF0397">
        <w:t>IUF</w:t>
      </w:r>
      <w:r>
        <w:t xml:space="preserve">, </w:t>
      </w:r>
      <w:r w:rsidRPr="00FF0397">
        <w:t>EHESS</w:t>
      </w:r>
      <w:r>
        <w:t>, France</w:t>
      </w:r>
    </w:p>
    <w:p w:rsidR="00EE3641" w:rsidRDefault="00EE3641" w:rsidP="00EE3641">
      <w:pPr>
        <w:jc w:val="both"/>
      </w:pPr>
      <w:r w:rsidRPr="00981D65">
        <w:t>Thèrèse N</w:t>
      </w:r>
      <w:r>
        <w:t>dione, CSA Dakar, Sénégal</w:t>
      </w:r>
    </w:p>
    <w:p w:rsidR="00EE3641" w:rsidRDefault="00EE3641" w:rsidP="00EE3641">
      <w:pPr>
        <w:jc w:val="both"/>
      </w:pPr>
      <w:r>
        <w:t>Erik Neveu, IEP de Rennes, CRAPE, France</w:t>
      </w:r>
    </w:p>
    <w:p w:rsidR="00EE3641" w:rsidRPr="00360A6D" w:rsidRDefault="00EE3641" w:rsidP="00EE3641">
      <w:pPr>
        <w:jc w:val="both"/>
      </w:pPr>
      <w:r w:rsidRPr="00360A6D">
        <w:t>Christophe Pichon, UCO Angers, DTSR UMR 8167, Orient et Méditerranée</w:t>
      </w:r>
      <w:r>
        <w:t>, France</w:t>
      </w:r>
    </w:p>
    <w:p w:rsidR="00EE3641" w:rsidRDefault="00EE3641" w:rsidP="00EE3641">
      <w:pPr>
        <w:jc w:val="both"/>
      </w:pPr>
      <w:r>
        <w:t xml:space="preserve">Philippe Portier, </w:t>
      </w:r>
      <w:r w:rsidRPr="00DE2AF0">
        <w:t>Ec</w:t>
      </w:r>
      <w:r>
        <w:t>ole pratique des hautes études, Paris-Sorbonne, France</w:t>
      </w:r>
    </w:p>
    <w:p w:rsidR="00EE3641" w:rsidRDefault="00EE3641" w:rsidP="00EE3641">
      <w:pPr>
        <w:jc w:val="both"/>
      </w:pPr>
      <w:r w:rsidRPr="005E5A8F">
        <w:t>Frédérique Poulet</w:t>
      </w:r>
      <w:r>
        <w:t>, UCO Angers, DTSR, GRAC, Institut Catholique de Paris EA 4377 Strasbourg, France</w:t>
      </w:r>
    </w:p>
    <w:p w:rsidR="00EE3641" w:rsidRDefault="00EE3641" w:rsidP="00EE3641">
      <w:pPr>
        <w:jc w:val="both"/>
      </w:pPr>
      <w:r>
        <w:t>Dany Rondeau, Université du Québec à Rimouski, Groupe de recherche Ethos de l’UQAM, Canada</w:t>
      </w:r>
    </w:p>
    <w:p w:rsidR="00EE3641" w:rsidRPr="00B62B01" w:rsidRDefault="00EE3641" w:rsidP="00EE3641">
      <w:pPr>
        <w:jc w:val="both"/>
      </w:pPr>
      <w:r w:rsidRPr="00981D65">
        <w:t>Blaise Pascal S</w:t>
      </w:r>
      <w:r>
        <w:t xml:space="preserve">agna, </w:t>
      </w:r>
      <w:r w:rsidRPr="00B62B01">
        <w:t>CSA Dakar</w:t>
      </w:r>
      <w:r>
        <w:t>, , Sénégal</w:t>
      </w:r>
    </w:p>
    <w:p w:rsidR="00EE3641" w:rsidRDefault="00EE3641" w:rsidP="00EE3641">
      <w:pPr>
        <w:jc w:val="both"/>
      </w:pPr>
      <w:r>
        <w:t>Olivier Turbide, UQAM, Montréal, Canada</w:t>
      </w:r>
    </w:p>
    <w:p w:rsidR="00D30998" w:rsidRPr="000566AF" w:rsidRDefault="00D30998" w:rsidP="00D30998">
      <w:pPr>
        <w:jc w:val="both"/>
      </w:pPr>
      <w:r w:rsidRPr="000566AF">
        <w:t>Jacques Walter, Centre de recherche sur les médiations</w:t>
      </w:r>
      <w:r>
        <w:t>, Université de Lorrain</w:t>
      </w:r>
      <w:r w:rsidRPr="000566AF">
        <w:t>e (EA 3476)</w:t>
      </w:r>
      <w:r>
        <w:t>, France</w:t>
      </w:r>
    </w:p>
    <w:p w:rsidR="00EE3641" w:rsidRDefault="00EE3641" w:rsidP="00EE3641">
      <w:pPr>
        <w:jc w:val="both"/>
      </w:pPr>
      <w:r>
        <w:t>Yingde Zhang, Université Sorbonne Nouvelle - Paris 3, Centre d'études sur la Chine moderne et contemporaine (EHESS/CNRS), EA 172 - Centre d'Études et de Recherches Comparatistes (CERC), France</w:t>
      </w:r>
    </w:p>
    <w:p w:rsidR="00EE3641" w:rsidRPr="00EE3641" w:rsidRDefault="00EE3641" w:rsidP="00D079D3">
      <w:pPr>
        <w:jc w:val="both"/>
        <w:rPr>
          <w:b/>
        </w:rPr>
      </w:pPr>
    </w:p>
    <w:p w:rsidR="00D079D3" w:rsidRPr="00462322" w:rsidRDefault="00D079D3" w:rsidP="00B73779">
      <w:pPr>
        <w:spacing w:after="0"/>
        <w:jc w:val="both"/>
        <w:rPr>
          <w:b/>
          <w:lang w:val="pt-BR"/>
        </w:rPr>
      </w:pPr>
    </w:p>
    <w:sectPr w:rsidR="00D079D3" w:rsidRPr="00462322" w:rsidSect="00774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DBB"/>
    <w:multiLevelType w:val="multilevel"/>
    <w:tmpl w:val="0138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93"/>
    <w:rsid w:val="00072615"/>
    <w:rsid w:val="000C4C0E"/>
    <w:rsid w:val="001B26F5"/>
    <w:rsid w:val="001E7ACF"/>
    <w:rsid w:val="001F6244"/>
    <w:rsid w:val="002127A9"/>
    <w:rsid w:val="002A5E5F"/>
    <w:rsid w:val="003201FC"/>
    <w:rsid w:val="003F6631"/>
    <w:rsid w:val="00414125"/>
    <w:rsid w:val="004401EF"/>
    <w:rsid w:val="00462322"/>
    <w:rsid w:val="004F3B93"/>
    <w:rsid w:val="00511028"/>
    <w:rsid w:val="006015D6"/>
    <w:rsid w:val="006C511C"/>
    <w:rsid w:val="00701FBA"/>
    <w:rsid w:val="00774CD6"/>
    <w:rsid w:val="007C6F3B"/>
    <w:rsid w:val="007F5742"/>
    <w:rsid w:val="0094313E"/>
    <w:rsid w:val="00A26595"/>
    <w:rsid w:val="00A87275"/>
    <w:rsid w:val="00B25ED8"/>
    <w:rsid w:val="00B36C98"/>
    <w:rsid w:val="00B73779"/>
    <w:rsid w:val="00B84D54"/>
    <w:rsid w:val="00C05D93"/>
    <w:rsid w:val="00C7501C"/>
    <w:rsid w:val="00CB2222"/>
    <w:rsid w:val="00D079D3"/>
    <w:rsid w:val="00D30998"/>
    <w:rsid w:val="00D33E92"/>
    <w:rsid w:val="00D94FDA"/>
    <w:rsid w:val="00DD11A8"/>
    <w:rsid w:val="00DD6F84"/>
    <w:rsid w:val="00EE3641"/>
    <w:rsid w:val="00F237A8"/>
    <w:rsid w:val="00F90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F5742"/>
    <w:rPr>
      <w:sz w:val="16"/>
      <w:szCs w:val="16"/>
    </w:rPr>
  </w:style>
  <w:style w:type="paragraph" w:styleId="Commentaire">
    <w:name w:val="annotation text"/>
    <w:basedOn w:val="Normal"/>
    <w:link w:val="CommentaireCar"/>
    <w:uiPriority w:val="99"/>
    <w:semiHidden/>
    <w:unhideWhenUsed/>
    <w:rsid w:val="007F5742"/>
    <w:pPr>
      <w:spacing w:line="240" w:lineRule="auto"/>
    </w:pPr>
    <w:rPr>
      <w:sz w:val="20"/>
      <w:szCs w:val="20"/>
    </w:rPr>
  </w:style>
  <w:style w:type="character" w:customStyle="1" w:styleId="CommentaireCar">
    <w:name w:val="Commentaire Car"/>
    <w:basedOn w:val="Policepardfaut"/>
    <w:link w:val="Commentaire"/>
    <w:uiPriority w:val="99"/>
    <w:semiHidden/>
    <w:rsid w:val="007F5742"/>
    <w:rPr>
      <w:sz w:val="20"/>
      <w:szCs w:val="20"/>
    </w:rPr>
  </w:style>
  <w:style w:type="paragraph" w:styleId="Objetducommentaire">
    <w:name w:val="annotation subject"/>
    <w:basedOn w:val="Commentaire"/>
    <w:next w:val="Commentaire"/>
    <w:link w:val="ObjetducommentaireCar"/>
    <w:uiPriority w:val="99"/>
    <w:semiHidden/>
    <w:unhideWhenUsed/>
    <w:rsid w:val="007F5742"/>
    <w:rPr>
      <w:b/>
      <w:bCs/>
    </w:rPr>
  </w:style>
  <w:style w:type="character" w:customStyle="1" w:styleId="ObjetducommentaireCar">
    <w:name w:val="Objet du commentaire Car"/>
    <w:basedOn w:val="CommentaireCar"/>
    <w:link w:val="Objetducommentaire"/>
    <w:uiPriority w:val="99"/>
    <w:semiHidden/>
    <w:rsid w:val="007F5742"/>
    <w:rPr>
      <w:b/>
      <w:bCs/>
      <w:sz w:val="20"/>
      <w:szCs w:val="20"/>
    </w:rPr>
  </w:style>
  <w:style w:type="paragraph" w:styleId="Textedebulles">
    <w:name w:val="Balloon Text"/>
    <w:basedOn w:val="Normal"/>
    <w:link w:val="TextedebullesCar"/>
    <w:uiPriority w:val="99"/>
    <w:semiHidden/>
    <w:unhideWhenUsed/>
    <w:rsid w:val="007F57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F5742"/>
    <w:rPr>
      <w:sz w:val="16"/>
      <w:szCs w:val="16"/>
    </w:rPr>
  </w:style>
  <w:style w:type="paragraph" w:styleId="Commentaire">
    <w:name w:val="annotation text"/>
    <w:basedOn w:val="Normal"/>
    <w:link w:val="CommentaireCar"/>
    <w:uiPriority w:val="99"/>
    <w:semiHidden/>
    <w:unhideWhenUsed/>
    <w:rsid w:val="007F5742"/>
    <w:pPr>
      <w:spacing w:line="240" w:lineRule="auto"/>
    </w:pPr>
    <w:rPr>
      <w:sz w:val="20"/>
      <w:szCs w:val="20"/>
    </w:rPr>
  </w:style>
  <w:style w:type="character" w:customStyle="1" w:styleId="CommentaireCar">
    <w:name w:val="Commentaire Car"/>
    <w:basedOn w:val="Policepardfaut"/>
    <w:link w:val="Commentaire"/>
    <w:uiPriority w:val="99"/>
    <w:semiHidden/>
    <w:rsid w:val="007F5742"/>
    <w:rPr>
      <w:sz w:val="20"/>
      <w:szCs w:val="20"/>
    </w:rPr>
  </w:style>
  <w:style w:type="paragraph" w:styleId="Objetducommentaire">
    <w:name w:val="annotation subject"/>
    <w:basedOn w:val="Commentaire"/>
    <w:next w:val="Commentaire"/>
    <w:link w:val="ObjetducommentaireCar"/>
    <w:uiPriority w:val="99"/>
    <w:semiHidden/>
    <w:unhideWhenUsed/>
    <w:rsid w:val="007F5742"/>
    <w:rPr>
      <w:b/>
      <w:bCs/>
    </w:rPr>
  </w:style>
  <w:style w:type="character" w:customStyle="1" w:styleId="ObjetducommentaireCar">
    <w:name w:val="Objet du commentaire Car"/>
    <w:basedOn w:val="CommentaireCar"/>
    <w:link w:val="Objetducommentaire"/>
    <w:uiPriority w:val="99"/>
    <w:semiHidden/>
    <w:rsid w:val="007F5742"/>
    <w:rPr>
      <w:b/>
      <w:bCs/>
      <w:sz w:val="20"/>
      <w:szCs w:val="20"/>
    </w:rPr>
  </w:style>
  <w:style w:type="paragraph" w:styleId="Textedebulles">
    <w:name w:val="Balloon Text"/>
    <w:basedOn w:val="Normal"/>
    <w:link w:val="TextedebullesCar"/>
    <w:uiPriority w:val="99"/>
    <w:semiHidden/>
    <w:unhideWhenUsed/>
    <w:rsid w:val="007F57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leroux@uco.fr"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ValasikC</cp:lastModifiedBy>
  <cp:revision>2</cp:revision>
  <dcterms:created xsi:type="dcterms:W3CDTF">2016-03-09T11:29:00Z</dcterms:created>
  <dcterms:modified xsi:type="dcterms:W3CDTF">2016-03-09T11:29:00Z</dcterms:modified>
</cp:coreProperties>
</file>