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E" w:rsidRDefault="00EC1F9E" w:rsidP="00EC1F9E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inline distT="0" distB="0" distL="0" distR="0" wp14:anchorId="3BCE9FA5" wp14:editId="00CF58E2">
            <wp:extent cx="1310640" cy="792480"/>
            <wp:effectExtent l="0" t="0" r="3810" b="7620"/>
            <wp:docPr id="1" name="Image 1" descr="Description : Description : Description 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escription : Description : Description :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val="fr-FR" w:eastAsia="fr-FR" w:bidi="ar-SA"/>
        </w:rPr>
        <w:drawing>
          <wp:inline distT="0" distB="0" distL="0" distR="0" wp14:anchorId="2D9184B5" wp14:editId="429CECD8">
            <wp:extent cx="1234440" cy="1122978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9E" w:rsidRDefault="00EC1F9E" w:rsidP="00C05D93">
      <w:pPr>
        <w:jc w:val="center"/>
        <w:rPr>
          <w:b/>
          <w:sz w:val="44"/>
        </w:rPr>
      </w:pPr>
    </w:p>
    <w:p w:rsidR="00C05D93" w:rsidRPr="00B73779" w:rsidRDefault="00C05D93" w:rsidP="00C05D93">
      <w:pPr>
        <w:jc w:val="center"/>
        <w:rPr>
          <w:b/>
          <w:sz w:val="44"/>
          <w:szCs w:val="44"/>
        </w:rPr>
      </w:pPr>
      <w:r>
        <w:rPr>
          <w:b/>
          <w:sz w:val="44"/>
        </w:rPr>
        <w:t xml:space="preserve">El arrepentimiento </w:t>
      </w:r>
    </w:p>
    <w:p w:rsidR="00C05D93" w:rsidRPr="00B73779" w:rsidRDefault="00A40826" w:rsidP="00C05D93">
      <w:pPr>
        <w:jc w:val="center"/>
        <w:rPr>
          <w:b/>
          <w:sz w:val="44"/>
          <w:szCs w:val="44"/>
        </w:rPr>
      </w:pPr>
      <w:r>
        <w:rPr>
          <w:b/>
          <w:sz w:val="44"/>
        </w:rPr>
        <w:t xml:space="preserve">Génesis </w:t>
      </w:r>
      <w:r w:rsidR="00C05D93">
        <w:rPr>
          <w:b/>
          <w:sz w:val="44"/>
        </w:rPr>
        <w:t>y situación actual</w:t>
      </w:r>
    </w:p>
    <w:p w:rsidR="00C05D93" w:rsidRPr="00B73779" w:rsidRDefault="00C05D93" w:rsidP="00C05D93">
      <w:pPr>
        <w:jc w:val="center"/>
        <w:rPr>
          <w:b/>
          <w:sz w:val="28"/>
          <w:szCs w:val="28"/>
        </w:rPr>
      </w:pPr>
      <w:r>
        <w:rPr>
          <w:b/>
          <w:sz w:val="28"/>
        </w:rPr>
        <w:t>Coloquio Internacional Interdisciplinario</w:t>
      </w:r>
    </w:p>
    <w:p w:rsidR="00C05D93" w:rsidRPr="00B73779" w:rsidRDefault="00C05D93" w:rsidP="00C05D93">
      <w:pPr>
        <w:jc w:val="center"/>
        <w:rPr>
          <w:b/>
          <w:sz w:val="28"/>
          <w:szCs w:val="28"/>
        </w:rPr>
      </w:pPr>
      <w:r>
        <w:rPr>
          <w:b/>
          <w:sz w:val="28"/>
        </w:rPr>
        <w:t>Dakar, Senegal, 22 y 23 de febrero de 2017</w:t>
      </w:r>
    </w:p>
    <w:p w:rsidR="00C05D93" w:rsidRPr="00B65AB9" w:rsidRDefault="00C05D93" w:rsidP="00C05D93">
      <w:pPr>
        <w:jc w:val="center"/>
        <w:rPr>
          <w:sz w:val="28"/>
          <w:szCs w:val="28"/>
        </w:rPr>
      </w:pPr>
      <w:r>
        <w:rPr>
          <w:sz w:val="28"/>
        </w:rPr>
        <w:t>Call for papers</w:t>
      </w:r>
    </w:p>
    <w:p w:rsidR="00B73779" w:rsidRDefault="0094313E" w:rsidP="00C05D93">
      <w:pPr>
        <w:jc w:val="both"/>
      </w:pPr>
      <w:r>
        <w:t>El tema del arrepentimiento forma ahora parte de la esfera pública y concierne tanto a grandes colectivos (naciones, pueb</w:t>
      </w:r>
      <w:r w:rsidR="00F96182">
        <w:t>los, comunidades, instituciones</w:t>
      </w:r>
      <w:r>
        <w:t>..</w:t>
      </w:r>
      <w:r w:rsidR="00F96182">
        <w:t xml:space="preserve">.) como a personas individuales y </w:t>
      </w:r>
      <w:r>
        <w:t>mantiene una compleja relación con la historia (las peticiones de arrepentimiento se refieren a periodos que los protagonistas no han vivido, lejanas en el tiempo, a la vez que se dirigen a instituciones o ac</w:t>
      </w:r>
      <w:r w:rsidR="00A40826">
        <w:t>tores cuya relación con la culpa</w:t>
      </w:r>
      <w:r>
        <w:t xml:space="preserve"> puede ser tenue). Al mismo tiempo, el arrepentimiento se ha globalizado y ahora concierne a una amplia variedad de áreas geográficas y culturales, y adopta formas muy variadas, que hacen referencia a hechos cuya magnitud, distancia temporal o contexto no son en modo alguno comparables. Las raíces del arrepentimiento se nutren efectivamente de múltiples tradiciones (religiosas, culturales, nacionales, comunitarias), y el hacerlas públicas ahora (a través de los medios de comunicación) conduce a formas secularizadas de arrepentimiento, en las que están  ausentes la mayoría de las dimensiones tradicionalmente constituyentes de la definición de arrepentimiento.</w:t>
      </w:r>
    </w:p>
    <w:p w:rsidR="00C05D93" w:rsidRDefault="00C05D93" w:rsidP="00C05D93">
      <w:pPr>
        <w:jc w:val="both"/>
      </w:pPr>
      <w:r>
        <w:t>Es esta conexión entre las formas tradicionales y la (</w:t>
      </w:r>
      <w:r w:rsidR="00A40826">
        <w:t>¿</w:t>
      </w:r>
      <w:r>
        <w:t>post?) m</w:t>
      </w:r>
      <w:r w:rsidR="00A40826">
        <w:t>odernidad del arrepentimiento la</w:t>
      </w:r>
      <w:r>
        <w:t xml:space="preserve"> que tratará de establecer este </w:t>
      </w:r>
      <w:r w:rsidR="00A148B7">
        <w:t>coloquio</w:t>
      </w:r>
      <w:r>
        <w:t xml:space="preserve"> internacional a través de contribuciones que se centrarán en trabajos de investigadores de diferentes disciplinas, que estudian objetos situados e</w:t>
      </w:r>
      <w:r w:rsidR="00A40826">
        <w:t xml:space="preserve">n diversos contextos. Así, las interrogaciones </w:t>
      </w:r>
      <w:r>
        <w:t xml:space="preserve">as abordarán menos la cuestión de las consecuencias (supuestas o reales) del arrepentimiento, que el arrepentimiento </w:t>
      </w:r>
      <w:r>
        <w:rPr>
          <w:i/>
        </w:rPr>
        <w:t xml:space="preserve">por sí mismo, </w:t>
      </w:r>
      <w:r>
        <w:t xml:space="preserve">a partir de un conjunto de hechos o de un caso concreto, de textos, de la concepción de un autor, de la práctica específica de una institución, de unos grupos o de determinadas personas. Se les invita a tomar en serio los vínculos entre el arrepentimiento y el perdón o reconciliación, sin contentarse con pensar en el "después" o la "página en blanco" que abre el arrepentimiento. En lugar de buscar </w:t>
      </w:r>
      <w:r>
        <w:rPr>
          <w:i/>
        </w:rPr>
        <w:t>un sentido</w:t>
      </w:r>
      <w:r>
        <w:t xml:space="preserve"> (teológico, antropológico, filosófico ...) al arrepentimiento, se tratará de aclarar </w:t>
      </w:r>
      <w:r>
        <w:rPr>
          <w:i/>
        </w:rPr>
        <w:t xml:space="preserve">los </w:t>
      </w:r>
      <w:r>
        <w:t xml:space="preserve">significados del arrepentimiento desde diferentes contextos (históricos, políticos, religiosos, sociológicos, legales, con frecuencia asimétricos) e incluyendo posibles objetivos estratégicos o formas de instrumentalización </w:t>
      </w:r>
      <w:r>
        <w:lastRenderedPageBreak/>
        <w:t>... También podremos analizar el significado de las resistencias o negativas a entrar en un proceso de arrepentimiento.</w:t>
      </w:r>
    </w:p>
    <w:p w:rsidR="00C05D93" w:rsidRDefault="003201FC" w:rsidP="00C05D93">
      <w:pPr>
        <w:jc w:val="both"/>
      </w:pPr>
      <w:r>
        <w:t xml:space="preserve">Para las propuestas pertenecientes a los ejes 2, 3 y 4, </w:t>
      </w:r>
      <w:r w:rsidR="00A40826">
        <w:t xml:space="preserve">los trabajos se basarán en </w:t>
      </w:r>
      <w:r>
        <w:t>enfoques de caso</w:t>
      </w:r>
      <w:r w:rsidR="00A40826">
        <w:t>s</w:t>
      </w:r>
      <w:r>
        <w:t xml:space="preserve"> definidos de forma precisa (eventualmente comparados) para proponer una problemática y un análisis. Se dará prioridad a los trabajos basados en corpus de textos, de archivos, o de producciones de los medios de comunicación. Los cuatro ejes siguientes articularán la exploración del tema del Arrepentimiento:</w:t>
      </w:r>
    </w:p>
    <w:p w:rsidR="00C05D93" w:rsidRPr="00DC0A50" w:rsidRDefault="00C05D93" w:rsidP="00C05D93">
      <w:pPr>
        <w:jc w:val="both"/>
        <w:rPr>
          <w:b/>
        </w:rPr>
      </w:pPr>
      <w:r>
        <w:rPr>
          <w:b/>
        </w:rPr>
        <w:t>Eje 1. Aproximación(es) conceptual(es)</w:t>
      </w:r>
    </w:p>
    <w:p w:rsidR="00C05D93" w:rsidRPr="00DC0A50" w:rsidRDefault="00C05D93" w:rsidP="00C05D93">
      <w:pPr>
        <w:jc w:val="both"/>
      </w:pPr>
      <w:r>
        <w:t>¿Cómo definir el arrepentimiento? ¿Qué conceptos pueden movilizarse? ¿Cómo entender los desafíos de</w:t>
      </w:r>
      <w:r w:rsidR="00A40826">
        <w:t>l arrepentimiento? ¿Qué es l</w:t>
      </w:r>
      <w:r>
        <w:t>que la distingue al arrepentimiento de otras prácticas (la autocrítica, la confesión...)?</w:t>
      </w:r>
    </w:p>
    <w:p w:rsidR="002A5E5F" w:rsidRDefault="00C05D93" w:rsidP="00C05D93">
      <w:pPr>
        <w:jc w:val="both"/>
        <w:rPr>
          <w:b/>
        </w:rPr>
      </w:pPr>
      <w:r>
        <w:rPr>
          <w:b/>
        </w:rPr>
        <w:t>Eje 2. Patrimonios históricos, culturales, y arrepentimiento</w:t>
      </w:r>
    </w:p>
    <w:p w:rsidR="004F3B93" w:rsidRDefault="001B26F5" w:rsidP="00C05D93">
      <w:pPr>
        <w:jc w:val="both"/>
      </w:pPr>
      <w:r>
        <w:t>El arrepentimiento plantea la cuestión de la relación que el arr</w:t>
      </w:r>
      <w:r w:rsidR="00A40826">
        <w:t>epentido mantiene con las culpas</w:t>
      </w:r>
      <w:r>
        <w:t xml:space="preserve"> de las que se acusa o acepta la responsabilidad. ¿Sobre qué continuidades puede descansar </w:t>
      </w:r>
      <w:r w:rsidR="00A40826">
        <w:t xml:space="preserve">el </w:t>
      </w:r>
      <w:r>
        <w:t xml:space="preserve">arrepentimiento más allá de las evoluciones, las rupturas culturales y políticas, la transformación institucional? ¿Cómo se articula la cuestión de la lectura de los hechos del pasado a la luz del presente, en el proceso de arrepentimiento? </w:t>
      </w:r>
    </w:p>
    <w:p w:rsidR="00C05D93" w:rsidRPr="00DC0A50" w:rsidRDefault="00C05D93" w:rsidP="00C05D93">
      <w:pPr>
        <w:jc w:val="both"/>
        <w:rPr>
          <w:b/>
        </w:rPr>
      </w:pPr>
      <w:r>
        <w:rPr>
          <w:b/>
        </w:rPr>
        <w:t>Eje 3. Proceso, publicidad, y puesta en escena del arrepentimiento</w:t>
      </w:r>
    </w:p>
    <w:p w:rsidR="00C05D93" w:rsidRDefault="00C05D93" w:rsidP="00C05D93">
      <w:pPr>
        <w:jc w:val="both"/>
      </w:pPr>
      <w:r>
        <w:t>Las múltiples formas de arrepentimiento, tanto religiosas como profanas interrogan el proceso de arrepentimiento y sus etapas: desde una toma de conciencia individual o colectiva hasta la organización de rituales, de puesta en escena y de publicidad (en el sentido de Habermas), desde los usos estratégicos hasta la interrogación profunda sobre la historia, las prácticas de museo o conmemorativas hasta el esclarecimiento de la complejidad histórica, ¿cómo se ha practicado y se practica hoy en día el arrepentimiento?</w:t>
      </w:r>
    </w:p>
    <w:p w:rsidR="00C05D93" w:rsidRDefault="00C05D93" w:rsidP="00C05D93">
      <w:pPr>
        <w:jc w:val="both"/>
        <w:rPr>
          <w:b/>
        </w:rPr>
      </w:pPr>
      <w:r>
        <w:rPr>
          <w:b/>
        </w:rPr>
        <w:t>Eje 4. El arrepentimiento, ¿qué expectativas?</w:t>
      </w:r>
    </w:p>
    <w:p w:rsidR="00C05D93" w:rsidRPr="002B4A56" w:rsidRDefault="00D53C4D" w:rsidP="00C05D93">
      <w:pPr>
        <w:jc w:val="both"/>
      </w:pPr>
      <w:r>
        <w:t>¿</w:t>
      </w:r>
      <w:r w:rsidR="00C05D93">
        <w:t>Qué esperar el arrepentimiento? ¿Cuál es la naturalez</w:t>
      </w:r>
      <w:r>
        <w:t>a de la "página en blanco" que é</w:t>
      </w:r>
      <w:r w:rsidR="00C05D93">
        <w:t>ste pretende abrir? ¿Cómo puede el arrepentimiento ayudar a conciliar memoria y perd</w:t>
      </w:r>
      <w:r>
        <w:t>ón, reconocimiento (de una culpa</w:t>
      </w:r>
      <w:r w:rsidR="00C05D93">
        <w:t>) y reconciliación, antagonismos e identidades? Sin estudiar las consecuencias del arrepentimiento se tratará de centrar las propuestas en torno a los debates y las preguntas que acompañan al arrepentimiento, los"costes" y los "beneficios" (a menudo simbólicos) esperados del arrepentimiento .</w:t>
      </w:r>
    </w:p>
    <w:p w:rsidR="00C05D93" w:rsidRPr="00F9087D" w:rsidRDefault="00C05D93" w:rsidP="00C05D93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b/>
        </w:rPr>
        <w:t>Modalidades de propuesta de una comunicación</w:t>
      </w:r>
    </w:p>
    <w:p w:rsidR="00C05D93" w:rsidRPr="00F9087D" w:rsidRDefault="00C05D93" w:rsidP="002A5E5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Idioma de la propuesta: francés, inglés, portugués, español, alemán.</w:t>
      </w:r>
    </w:p>
    <w:p w:rsidR="00C05D93" w:rsidRPr="00F9087D" w:rsidRDefault="00C05D93" w:rsidP="002A5E5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Idioma del coloquio: inglés, francés (posibilidad eventual de interpretación simultánea dependiendo de las peticiones)</w:t>
      </w:r>
    </w:p>
    <w:p w:rsidR="00C05D93" w:rsidRPr="00F9087D" w:rsidRDefault="00C05D93" w:rsidP="002A5E5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La propuesta de contribución se presentará de la siguiente manera:</w:t>
      </w:r>
    </w:p>
    <w:p w:rsidR="00C05D93" w:rsidRDefault="00C05D93" w:rsidP="002A5E5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Datos personales exactos (nombre, cargo, establecimiento al que pertenece: universidad y laboratorio, dirección de correo electrónico de cada autor)</w:t>
      </w:r>
    </w:p>
    <w:p w:rsidR="00C05D93" w:rsidRPr="00F9087D" w:rsidRDefault="00C05D93" w:rsidP="002A5E5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lastRenderedPageBreak/>
        <w:t>Título de la comunicación y a continuación del mismo, el eje seleccionado,</w:t>
      </w:r>
    </w:p>
    <w:p w:rsidR="00C05D93" w:rsidRDefault="00C05D93" w:rsidP="002A5E5F">
      <w:pPr>
        <w:numPr>
          <w:ilvl w:val="0"/>
          <w:numId w:val="1"/>
        </w:numPr>
        <w:spacing w:after="0"/>
        <w:jc w:val="both"/>
      </w:pPr>
      <w:r>
        <w:rPr>
          <w:rFonts w:ascii="Calibri" w:hAnsi="Calibri"/>
        </w:rPr>
        <w:t>Res</w:t>
      </w:r>
      <w:r w:rsidR="00D53C4D">
        <w:rPr>
          <w:rFonts w:ascii="Calibri" w:hAnsi="Calibri"/>
        </w:rPr>
        <w:t xml:space="preserve">umen de la propuesta de 2500 a </w:t>
      </w:r>
      <w:r>
        <w:rPr>
          <w:rFonts w:ascii="Calibri" w:hAnsi="Calibri"/>
        </w:rPr>
        <w:t>5.000 signos aproximadamente sin contar las referencias bibliográficas que se citarán en notas al final del texto(formato Word, ODT o compatible)</w:t>
      </w:r>
    </w:p>
    <w:p w:rsidR="00C05D93" w:rsidRDefault="00C05D93" w:rsidP="002A5E5F">
      <w:pPr>
        <w:numPr>
          <w:ilvl w:val="0"/>
          <w:numId w:val="1"/>
        </w:numPr>
        <w:spacing w:after="0"/>
        <w:jc w:val="both"/>
      </w:pPr>
      <w:r>
        <w:t>Podrá acompañarse la propuesta de un breve CV de 10 líneas</w:t>
      </w:r>
    </w:p>
    <w:p w:rsidR="00C05D93" w:rsidRPr="00D42DD7" w:rsidRDefault="00C05D93" w:rsidP="002A5E5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Será enviada por correo electrónico a la vez a Pierre Leroux </w:t>
      </w:r>
      <w:hyperlink r:id="rId8">
        <w:r>
          <w:rPr>
            <w:rFonts w:ascii="Calibri" w:hAnsi="Calibri"/>
            <w:color w:val="0000FF"/>
            <w:u w:val="single"/>
          </w:rPr>
          <w:t>(pierre.leroux@uco.fr)</w:t>
        </w:r>
      </w:hyperlink>
      <w:r>
        <w:t xml:space="preserve"> </w:t>
      </w:r>
      <w:r>
        <w:rPr>
          <w:rFonts w:ascii="Calibri" w:hAnsi="Calibri"/>
        </w:rPr>
        <w:t>y a Frédérique Poulet (frederique.poulet@uco.fr).</w:t>
      </w:r>
    </w:p>
    <w:p w:rsidR="00C05D93" w:rsidRPr="00F9087D" w:rsidRDefault="00C05D93" w:rsidP="00C05D93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b/>
        </w:rPr>
        <w:t>Plazo de present</w:t>
      </w:r>
      <w:r w:rsidR="002D1C3F">
        <w:rPr>
          <w:rFonts w:ascii="Calibri" w:hAnsi="Calibri"/>
          <w:b/>
        </w:rPr>
        <w:t>ación de propuestas : hasta el 31</w:t>
      </w:r>
      <w:r>
        <w:rPr>
          <w:rFonts w:ascii="Calibri" w:hAnsi="Calibri"/>
          <w:b/>
        </w:rPr>
        <w:t xml:space="preserve"> de </w:t>
      </w:r>
      <w:r w:rsidR="002D1C3F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</w:t>
      </w:r>
      <w:r w:rsidR="00D53C4D">
        <w:rPr>
          <w:rFonts w:ascii="Calibri" w:hAnsi="Calibri"/>
          <w:b/>
        </w:rPr>
        <w:t xml:space="preserve">de </w:t>
      </w:r>
      <w:r>
        <w:rPr>
          <w:rFonts w:ascii="Calibri" w:hAnsi="Calibri"/>
          <w:b/>
        </w:rPr>
        <w:t>2016 (inclusive)</w:t>
      </w:r>
      <w:r>
        <w:tab/>
      </w:r>
    </w:p>
    <w:p w:rsidR="00B73779" w:rsidRDefault="00B73779" w:rsidP="00C05D93">
      <w:pPr>
        <w:jc w:val="both"/>
        <w:rPr>
          <w:rFonts w:ascii="Calibri" w:eastAsia="Calibri" w:hAnsi="Calibri" w:cs="Times New Roman"/>
          <w:b/>
          <w:bCs/>
        </w:rPr>
      </w:pPr>
    </w:p>
    <w:p w:rsidR="00C05D93" w:rsidRPr="00F9087D" w:rsidRDefault="00C05D93" w:rsidP="00C05D93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b/>
        </w:rPr>
        <w:t>Evaluación de las propuestas</w:t>
      </w:r>
    </w:p>
    <w:p w:rsidR="00C05D93" w:rsidRPr="00F9087D" w:rsidRDefault="00C05D93" w:rsidP="002A5E5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Cada propuesta será objeto de una evaluación anónima en paralelo por dos miembros del comité científico.  </w:t>
      </w:r>
    </w:p>
    <w:p w:rsidR="00C05D93" w:rsidRPr="00F9087D" w:rsidRDefault="00C05D93" w:rsidP="002A5E5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Los autores de las propuestas aceptadas serán informados electrónicamente antes del 1 de abril </w:t>
      </w:r>
      <w:r w:rsidR="00D53C4D">
        <w:rPr>
          <w:rFonts w:ascii="Calibri" w:hAnsi="Calibri"/>
        </w:rPr>
        <w:t xml:space="preserve">de </w:t>
      </w:r>
      <w:r>
        <w:rPr>
          <w:rFonts w:ascii="Calibri" w:hAnsi="Calibri"/>
        </w:rPr>
        <w:t>2016.</w:t>
      </w:r>
    </w:p>
    <w:p w:rsidR="00C7501C" w:rsidRDefault="00C05D93" w:rsidP="00B73779">
      <w:pPr>
        <w:spacing w:after="0"/>
        <w:jc w:val="both"/>
        <w:rPr>
          <w:b/>
        </w:rPr>
      </w:pPr>
      <w:r>
        <w:rPr>
          <w:b/>
        </w:rPr>
        <w:t xml:space="preserve">La participación en el </w:t>
      </w:r>
      <w:r w:rsidR="00F96182">
        <w:rPr>
          <w:b/>
        </w:rPr>
        <w:t>coloquio</w:t>
      </w:r>
      <w:r>
        <w:rPr>
          <w:b/>
        </w:rPr>
        <w:t xml:space="preserve"> implica enviar imperativamente el texto de la comunicación, el 1 de enero de 2017 a más tardar. </w:t>
      </w:r>
    </w:p>
    <w:p w:rsidR="00D079D3" w:rsidRDefault="00D079D3" w:rsidP="00B73779">
      <w:pPr>
        <w:spacing w:after="0"/>
        <w:jc w:val="both"/>
        <w:rPr>
          <w:b/>
        </w:rPr>
      </w:pPr>
    </w:p>
    <w:p w:rsidR="00D079D3" w:rsidRDefault="00D079D3" w:rsidP="00D079D3">
      <w:pPr>
        <w:jc w:val="both"/>
        <w:rPr>
          <w:b/>
        </w:rPr>
      </w:pPr>
      <w:r>
        <w:rPr>
          <w:b/>
        </w:rPr>
        <w:t xml:space="preserve">Comité Organizador: </w:t>
      </w:r>
    </w:p>
    <w:p w:rsidR="00D52B8E" w:rsidRPr="004C4898" w:rsidRDefault="00D52B8E" w:rsidP="00D52B8E">
      <w:pPr>
        <w:jc w:val="both"/>
        <w:rPr>
          <w:lang w:val="de-DE"/>
        </w:rPr>
      </w:pPr>
      <w:r w:rsidRPr="004C4898">
        <w:rPr>
          <w:lang w:val="de-DE"/>
        </w:rPr>
        <w:t>Responsable</w:t>
      </w:r>
      <w:r>
        <w:rPr>
          <w:lang w:val="de-DE"/>
        </w:rPr>
        <w:t>s</w:t>
      </w:r>
      <w:r w:rsidRPr="004C4898">
        <w:rPr>
          <w:lang w:val="de-DE"/>
        </w:rPr>
        <w:t xml:space="preserve"> </w:t>
      </w:r>
      <w:r w:rsidR="00D53C4D">
        <w:rPr>
          <w:lang w:val="de-DE"/>
        </w:rPr>
        <w:t xml:space="preserve">: </w:t>
      </w:r>
      <w:r>
        <w:t xml:space="preserve">Jean-Claude Angoula (UGB Saint Louis / CSA Dakar), </w:t>
      </w:r>
      <w:r w:rsidRPr="004C4898">
        <w:rPr>
          <w:lang w:val="de-DE"/>
        </w:rPr>
        <w:t>Pierre Leroux (UCO Angers),</w:t>
      </w:r>
    </w:p>
    <w:p w:rsidR="007C5766" w:rsidRPr="004D0CB7" w:rsidRDefault="00EC4603" w:rsidP="007C5766">
      <w:pPr>
        <w:jc w:val="both"/>
      </w:pPr>
      <w:r>
        <w:rPr>
          <w:lang w:val="de-DE"/>
        </w:rPr>
        <w:t>c</w:t>
      </w:r>
      <w:r w:rsidR="00C65B02">
        <w:t xml:space="preserve">on </w:t>
      </w:r>
      <w:r w:rsidR="007C5766">
        <w:t xml:space="preserve">Léon Diagne (UCAD Dakar / CSA Dakar), </w:t>
      </w:r>
      <w:r w:rsidR="007C5766" w:rsidRPr="004D0CB7">
        <w:t xml:space="preserve">, </w:t>
      </w:r>
      <w:r w:rsidR="007C5766">
        <w:t>Philippe Loiseau (UCO Angers), Henriette Mbaye (CSA Dakar), Dominique François Mendy (CESTI Dakar / CSA Dakar), Thérèse Ndione (CSA Dakar,</w:t>
      </w:r>
      <w:r w:rsidR="007C5766" w:rsidRPr="004D0CB7">
        <w:t xml:space="preserve"> Christophe Pichon</w:t>
      </w:r>
      <w:r w:rsidR="007C5766">
        <w:t xml:space="preserve"> (UCO Angers)</w:t>
      </w:r>
      <w:r w:rsidR="007C5766" w:rsidRPr="004D0CB7">
        <w:t>, Frédérique Poulet</w:t>
      </w:r>
      <w:r w:rsidR="007C5766">
        <w:t xml:space="preserve"> (UCO Angers), Blaise Pascal Sagna (CSA Dakar).</w:t>
      </w:r>
    </w:p>
    <w:p w:rsidR="00D079D3" w:rsidRDefault="00D079D3" w:rsidP="00D079D3">
      <w:pPr>
        <w:jc w:val="both"/>
        <w:rPr>
          <w:b/>
        </w:rPr>
      </w:pPr>
      <w:r>
        <w:rPr>
          <w:b/>
        </w:rPr>
        <w:t xml:space="preserve">Comité Científico: </w:t>
      </w:r>
    </w:p>
    <w:p w:rsidR="00BA422B" w:rsidRDefault="00BA422B" w:rsidP="00BA422B">
      <w:pPr>
        <w:jc w:val="both"/>
      </w:pPr>
      <w:r>
        <w:t xml:space="preserve">Béatrice Bouvier-Lafitte, UCO Angers, CoDiRe, Université de Nantes, France </w:t>
      </w:r>
    </w:p>
    <w:p w:rsidR="00BA422B" w:rsidRDefault="00BA422B" w:rsidP="00BA422B">
      <w:pPr>
        <w:jc w:val="both"/>
      </w:pPr>
      <w:r>
        <w:t>Magali Bessone, Université de Rennes 1, EA 1270 "Philosophie des Normes", IUF, France</w:t>
      </w:r>
    </w:p>
    <w:p w:rsidR="00BA422B" w:rsidRDefault="00BA422B" w:rsidP="00BA422B">
      <w:pPr>
        <w:jc w:val="both"/>
      </w:pPr>
      <w:r>
        <w:t>Yvon César Banackissa, CSA Dakar, Sénégal</w:t>
      </w:r>
    </w:p>
    <w:p w:rsidR="00BA422B" w:rsidRPr="00B62B01" w:rsidRDefault="00BA422B" w:rsidP="00BA422B">
      <w:pPr>
        <w:jc w:val="both"/>
      </w:pPr>
      <w:r w:rsidRPr="00B62B01">
        <w:t>Léon Diagne, UCAD Dakar / CSA Dakar</w:t>
      </w:r>
      <w:r>
        <w:t>, Sénégal</w:t>
      </w:r>
    </w:p>
    <w:p w:rsidR="00BA422B" w:rsidRDefault="00BA422B" w:rsidP="00BA422B">
      <w:pPr>
        <w:jc w:val="both"/>
      </w:pPr>
      <w:r>
        <w:t xml:space="preserve">Jeanne Hersant, </w:t>
      </w:r>
      <w:r w:rsidRPr="00CD041A">
        <w:t>Centro de Estudios Avanzados, Universidad de Playa Ancha (Valparaíso</w:t>
      </w:r>
      <w:r>
        <w:t>)</w:t>
      </w:r>
      <w:r w:rsidRPr="00CD041A">
        <w:t>, Chile</w:t>
      </w:r>
    </w:p>
    <w:p w:rsidR="00BA422B" w:rsidRDefault="00BA422B" w:rsidP="00BA422B">
      <w:pPr>
        <w:jc w:val="both"/>
      </w:pPr>
      <w:r>
        <w:t>Renaud Hourcade, Université de Rennes 1, CRAPE, France</w:t>
      </w:r>
    </w:p>
    <w:p w:rsidR="00BA422B" w:rsidRDefault="00BA422B" w:rsidP="00BA422B">
      <w:pPr>
        <w:jc w:val="both"/>
      </w:pPr>
      <w:r>
        <w:t>Christian Le Bart, MSH Rennes, IEP de Rennes, France</w:t>
      </w:r>
    </w:p>
    <w:p w:rsidR="00BA422B" w:rsidRDefault="00BA422B" w:rsidP="00BA422B">
      <w:pPr>
        <w:jc w:val="both"/>
      </w:pPr>
      <w:r w:rsidRPr="002A1AFD">
        <w:t xml:space="preserve">Sandrine Lefranc, </w:t>
      </w:r>
      <w:r>
        <w:t>CNRS, Institut des Sciences sociales du Politique, Université de Paris Ouest Nanterre, ENS Cachan, France</w:t>
      </w:r>
    </w:p>
    <w:p w:rsidR="00BA422B" w:rsidRDefault="00BA422B" w:rsidP="00BA422B">
      <w:pPr>
        <w:jc w:val="both"/>
      </w:pPr>
      <w:r w:rsidRPr="005E5A8F">
        <w:t xml:space="preserve">Pierre Leroux, </w:t>
      </w:r>
      <w:r>
        <w:t>UCO, CRAPE IEP de Rennes, France</w:t>
      </w:r>
    </w:p>
    <w:p w:rsidR="00BA422B" w:rsidRDefault="00BA422B" w:rsidP="00BA422B">
      <w:pPr>
        <w:jc w:val="both"/>
      </w:pPr>
      <w:r>
        <w:t xml:space="preserve">Jean-Clément Martin, </w:t>
      </w:r>
      <w:r w:rsidRPr="005875AB">
        <w:t>Université Paris 1 Panthéon-Sorbonne</w:t>
      </w:r>
      <w:r>
        <w:t xml:space="preserve">, </w:t>
      </w:r>
      <w:r w:rsidRPr="005875AB">
        <w:t>Institut d’Histoire de la Révolution française (IHRF)</w:t>
      </w:r>
      <w:r>
        <w:t>, France</w:t>
      </w:r>
    </w:p>
    <w:p w:rsidR="00BA422B" w:rsidRPr="00B62B01" w:rsidRDefault="00BA422B" w:rsidP="00BA422B">
      <w:pPr>
        <w:jc w:val="both"/>
      </w:pPr>
      <w:r w:rsidRPr="00B62B01">
        <w:t>Henriette Mbaye, CSA Dakar</w:t>
      </w:r>
      <w:r>
        <w:t>, Sénégal</w:t>
      </w:r>
    </w:p>
    <w:p w:rsidR="00BA422B" w:rsidRPr="00B62B01" w:rsidRDefault="00BA422B" w:rsidP="00BA422B">
      <w:pPr>
        <w:jc w:val="both"/>
      </w:pPr>
      <w:r>
        <w:lastRenderedPageBreak/>
        <w:t xml:space="preserve">Dominique François Mendy, </w:t>
      </w:r>
      <w:r w:rsidRPr="00B62B01">
        <w:t>CESTI Dakar / CSA Dakar</w:t>
      </w:r>
      <w:r>
        <w:t>, Sénégal</w:t>
      </w:r>
    </w:p>
    <w:p w:rsidR="00BA422B" w:rsidRDefault="00BA422B" w:rsidP="00BA422B">
      <w:pPr>
        <w:jc w:val="both"/>
      </w:pPr>
      <w:r>
        <w:t xml:space="preserve">Johann Michel, </w:t>
      </w:r>
      <w:r w:rsidRPr="00FF0397">
        <w:t>Université de Poitiers</w:t>
      </w:r>
      <w:r>
        <w:t xml:space="preserve">, </w:t>
      </w:r>
      <w:r w:rsidRPr="00FF0397">
        <w:t>IUF</w:t>
      </w:r>
      <w:r>
        <w:t xml:space="preserve">, </w:t>
      </w:r>
      <w:r w:rsidRPr="00FF0397">
        <w:t>EHESS</w:t>
      </w:r>
      <w:r>
        <w:t>, France</w:t>
      </w:r>
    </w:p>
    <w:p w:rsidR="00BA422B" w:rsidRDefault="00BA422B" w:rsidP="00BA422B">
      <w:pPr>
        <w:jc w:val="both"/>
      </w:pPr>
      <w:r w:rsidRPr="00981D65">
        <w:t>Thèrèse N</w:t>
      </w:r>
      <w:r>
        <w:t>dione, CSA Dakar, Sénégal</w:t>
      </w:r>
    </w:p>
    <w:p w:rsidR="00BA422B" w:rsidRDefault="00BA422B" w:rsidP="00BA422B">
      <w:pPr>
        <w:jc w:val="both"/>
      </w:pPr>
      <w:r>
        <w:t>Erik Neveu, IEP de Rennes, CRAPE, France</w:t>
      </w:r>
    </w:p>
    <w:p w:rsidR="00BA422B" w:rsidRPr="00360A6D" w:rsidRDefault="00BA422B" w:rsidP="00BA422B">
      <w:pPr>
        <w:jc w:val="both"/>
      </w:pPr>
      <w:r w:rsidRPr="00360A6D">
        <w:t>Christophe Pichon, UCO Angers, DTSR UMR 8167, Orient et Méditerranée</w:t>
      </w:r>
      <w:r>
        <w:t>, France</w:t>
      </w:r>
    </w:p>
    <w:p w:rsidR="00BA422B" w:rsidRDefault="00BA422B" w:rsidP="00BA422B">
      <w:pPr>
        <w:jc w:val="both"/>
      </w:pPr>
      <w:r>
        <w:t xml:space="preserve">Philippe Portier, </w:t>
      </w:r>
      <w:r w:rsidRPr="00DE2AF0">
        <w:t>Ec</w:t>
      </w:r>
      <w:r w:rsidR="005722AC">
        <w:t>ole pratique des h</w:t>
      </w:r>
      <w:r>
        <w:t>autes études, Paris-Sorbonne, France</w:t>
      </w:r>
    </w:p>
    <w:p w:rsidR="00BA422B" w:rsidRDefault="00BA422B" w:rsidP="00BA422B">
      <w:pPr>
        <w:jc w:val="both"/>
      </w:pPr>
      <w:r w:rsidRPr="005E5A8F">
        <w:t>Frédérique Poulet</w:t>
      </w:r>
      <w:r>
        <w:t>, UCO Angers, DTSR, GRAC, Institut Catholique de Paris EA 4377 Strasbourg, France</w:t>
      </w:r>
    </w:p>
    <w:p w:rsidR="00BA422B" w:rsidRDefault="00BA422B" w:rsidP="00BA422B">
      <w:pPr>
        <w:jc w:val="both"/>
      </w:pPr>
      <w:r>
        <w:t>Dany Rondeau, Université du Québec à Rimouski, Groupe de recherche Ethos de l’UQAM, Canada</w:t>
      </w:r>
    </w:p>
    <w:p w:rsidR="00BA422B" w:rsidRPr="00B62B01" w:rsidRDefault="00BA422B" w:rsidP="00BA422B">
      <w:pPr>
        <w:jc w:val="both"/>
      </w:pPr>
      <w:r w:rsidRPr="00981D65">
        <w:t>Blaise Pascal S</w:t>
      </w:r>
      <w:r>
        <w:t xml:space="preserve">agna, </w:t>
      </w:r>
      <w:r w:rsidRPr="00B62B01">
        <w:t>CSA Dakar</w:t>
      </w:r>
      <w:r w:rsidR="005722AC">
        <w:t xml:space="preserve">, </w:t>
      </w:r>
      <w:r>
        <w:t>Sénégal</w:t>
      </w:r>
    </w:p>
    <w:p w:rsidR="00BA422B" w:rsidRDefault="00BA422B" w:rsidP="00BA422B">
      <w:pPr>
        <w:jc w:val="both"/>
      </w:pPr>
      <w:r>
        <w:t>Olivier Turbide, UQAM, Montréal, Canada</w:t>
      </w:r>
    </w:p>
    <w:p w:rsidR="000566AF" w:rsidRPr="000566AF" w:rsidRDefault="000566AF" w:rsidP="00BA422B">
      <w:pPr>
        <w:jc w:val="both"/>
        <w:rPr>
          <w:lang w:val="fr-FR"/>
        </w:rPr>
      </w:pPr>
      <w:r w:rsidRPr="000566AF">
        <w:rPr>
          <w:lang w:val="fr-FR" w:eastAsia="en-US" w:bidi="ar-SA"/>
        </w:rPr>
        <w:t>Jacques Walter, Centre de recherche sur les médiations</w:t>
      </w:r>
      <w:r>
        <w:rPr>
          <w:lang w:val="fr-FR" w:eastAsia="en-US" w:bidi="ar-SA"/>
        </w:rPr>
        <w:t>, Université de Lorrain</w:t>
      </w:r>
      <w:r w:rsidRPr="000566AF">
        <w:rPr>
          <w:lang w:val="fr-FR" w:eastAsia="en-US" w:bidi="ar-SA"/>
        </w:rPr>
        <w:t>e (EA 3476)</w:t>
      </w:r>
      <w:r>
        <w:rPr>
          <w:lang w:val="fr-FR" w:eastAsia="en-US" w:bidi="ar-SA"/>
        </w:rPr>
        <w:t>, France</w:t>
      </w:r>
    </w:p>
    <w:p w:rsidR="00BA422B" w:rsidRDefault="00BA422B" w:rsidP="00BA422B">
      <w:pPr>
        <w:jc w:val="both"/>
      </w:pPr>
      <w:r>
        <w:t>Yingde Zhang, Université Sorbonne Nouvelle - Paris 3, Centre d'études sur la Chine moderne et contemporaine (EHESS/CNRS), EA 172 - Centre d'Études et de Recherches Comparatistes (CERC), France</w:t>
      </w:r>
    </w:p>
    <w:p w:rsidR="00BA422B" w:rsidRDefault="00BA422B" w:rsidP="00D079D3">
      <w:pPr>
        <w:jc w:val="both"/>
        <w:rPr>
          <w:b/>
        </w:rPr>
      </w:pPr>
    </w:p>
    <w:p w:rsidR="00D079D3" w:rsidRPr="00B73779" w:rsidRDefault="00D079D3" w:rsidP="00B73779">
      <w:pPr>
        <w:spacing w:after="0"/>
        <w:jc w:val="both"/>
        <w:rPr>
          <w:b/>
        </w:rPr>
      </w:pPr>
    </w:p>
    <w:sectPr w:rsidR="00D079D3" w:rsidRPr="00B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DBB"/>
    <w:multiLevelType w:val="multilevel"/>
    <w:tmpl w:val="013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3"/>
    <w:rsid w:val="000566AF"/>
    <w:rsid w:val="000C4C0E"/>
    <w:rsid w:val="001B26F5"/>
    <w:rsid w:val="002A5E5F"/>
    <w:rsid w:val="002D1C3F"/>
    <w:rsid w:val="002F5D69"/>
    <w:rsid w:val="003201FC"/>
    <w:rsid w:val="004401EF"/>
    <w:rsid w:val="004F3B93"/>
    <w:rsid w:val="005722AC"/>
    <w:rsid w:val="006C1462"/>
    <w:rsid w:val="007C5766"/>
    <w:rsid w:val="007F5742"/>
    <w:rsid w:val="008403AE"/>
    <w:rsid w:val="0094313E"/>
    <w:rsid w:val="00A148B7"/>
    <w:rsid w:val="00A40826"/>
    <w:rsid w:val="00A87275"/>
    <w:rsid w:val="00B25ED8"/>
    <w:rsid w:val="00B73779"/>
    <w:rsid w:val="00BA422B"/>
    <w:rsid w:val="00C05D93"/>
    <w:rsid w:val="00C65B02"/>
    <w:rsid w:val="00C7501C"/>
    <w:rsid w:val="00D079D3"/>
    <w:rsid w:val="00D3168A"/>
    <w:rsid w:val="00D33E92"/>
    <w:rsid w:val="00D52B8E"/>
    <w:rsid w:val="00D53C4D"/>
    <w:rsid w:val="00DA586F"/>
    <w:rsid w:val="00DD6F84"/>
    <w:rsid w:val="00EC1F9E"/>
    <w:rsid w:val="00EC4603"/>
    <w:rsid w:val="00F237A8"/>
    <w:rsid w:val="00F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leroux@uc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ValasikC</cp:lastModifiedBy>
  <cp:revision>2</cp:revision>
  <dcterms:created xsi:type="dcterms:W3CDTF">2016-03-09T11:28:00Z</dcterms:created>
  <dcterms:modified xsi:type="dcterms:W3CDTF">2016-03-09T11:28:00Z</dcterms:modified>
</cp:coreProperties>
</file>