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2C2" w:rsidRPr="00F71816" w:rsidRDefault="000E42C2">
      <w:pPr>
        <w:pStyle w:val="Pardfaut"/>
        <w:spacing w:line="280" w:lineRule="atLeast"/>
        <w:jc w:val="both"/>
        <w:rPr>
          <w:rFonts w:ascii="Trebuchet MS" w:eastAsia="Arial Narrow" w:hAnsi="Trebuchet MS" w:cs="Arial Narrow"/>
          <w:sz w:val="24"/>
          <w:szCs w:val="24"/>
          <w:u w:color="000000"/>
        </w:rPr>
      </w:pPr>
    </w:p>
    <w:p w:rsidR="00EC1125" w:rsidRPr="000013CA" w:rsidRDefault="00EC1125" w:rsidP="00EC1125">
      <w:pPr>
        <w:pStyle w:val="Pardfaut"/>
        <w:spacing w:line="280" w:lineRule="atLeast"/>
        <w:jc w:val="both"/>
        <w:rPr>
          <w:rFonts w:ascii="Trebuchet MS" w:hAnsi="Trebuchet MS"/>
          <w:u w:color="000000"/>
        </w:rPr>
      </w:pPr>
    </w:p>
    <w:p w:rsidR="000013CA" w:rsidRDefault="000013CA" w:rsidP="000013CA">
      <w:pPr>
        <w:pStyle w:val="Formatlibre"/>
        <w:jc w:val="center"/>
      </w:pPr>
      <w:r>
        <w:rPr>
          <w:rFonts w:ascii="Arial Narrow" w:hAnsi="Arial Narrow" w:cs="Arial Narrow"/>
          <w:sz w:val="28"/>
          <w:szCs w:val="28"/>
          <w:lang w:val="fr-FR"/>
        </w:rPr>
        <w:t>« </w:t>
      </w:r>
      <w:r w:rsidR="00B46C54" w:rsidRPr="00FC2E3E">
        <w:rPr>
          <w:rFonts w:ascii="Arial Narrow" w:hAnsi="Arial Narrow" w:cs="Arial Narrow"/>
          <w:i/>
          <w:iCs/>
          <w:sz w:val="28"/>
          <w:szCs w:val="28"/>
          <w:lang w:val="fr-FR"/>
        </w:rPr>
        <w:t xml:space="preserve">Sketch </w:t>
      </w:r>
      <w:proofErr w:type="spellStart"/>
      <w:r w:rsidR="00B46C54" w:rsidRPr="00FC2E3E">
        <w:rPr>
          <w:rFonts w:ascii="Arial Narrow" w:hAnsi="Arial Narrow" w:cs="Arial Narrow"/>
          <w:i/>
          <w:iCs/>
          <w:sz w:val="28"/>
          <w:szCs w:val="28"/>
          <w:lang w:val="fr-FR"/>
        </w:rPr>
        <w:t>Studies</w:t>
      </w:r>
      <w:proofErr w:type="spellEnd"/>
      <w:r w:rsidR="00B46C54">
        <w:rPr>
          <w:rFonts w:ascii="Arial Narrow" w:hAnsi="Arial Narrow" w:cs="Arial Narrow"/>
          <w:sz w:val="28"/>
          <w:szCs w:val="28"/>
          <w:lang w:val="fr-FR"/>
        </w:rPr>
        <w:t xml:space="preserve"> et création de dispositif</w:t>
      </w:r>
      <w:r w:rsidR="00FC2E3E">
        <w:rPr>
          <w:rFonts w:ascii="Arial Narrow" w:hAnsi="Arial Narrow" w:cs="Arial Narrow"/>
          <w:sz w:val="28"/>
          <w:szCs w:val="28"/>
          <w:lang w:val="fr-FR"/>
        </w:rPr>
        <w:t>s</w:t>
      </w:r>
      <w:r w:rsidR="00B46C54">
        <w:rPr>
          <w:rFonts w:ascii="Arial Narrow" w:hAnsi="Arial Narrow" w:cs="Arial Narrow"/>
          <w:sz w:val="28"/>
          <w:szCs w:val="28"/>
          <w:lang w:val="fr-FR"/>
        </w:rPr>
        <w:t xml:space="preserve"> non </w:t>
      </w:r>
      <w:proofErr w:type="spellStart"/>
      <w:r w:rsidR="00B46C54">
        <w:rPr>
          <w:rFonts w:ascii="Arial Narrow" w:hAnsi="Arial Narrow" w:cs="Arial Narrow"/>
          <w:sz w:val="28"/>
          <w:szCs w:val="28"/>
          <w:lang w:val="fr-FR"/>
        </w:rPr>
        <w:t>haptique</w:t>
      </w:r>
      <w:r w:rsidR="00FC2E3E">
        <w:rPr>
          <w:rFonts w:ascii="Arial Narrow" w:hAnsi="Arial Narrow" w:cs="Arial Narrow"/>
          <w:sz w:val="28"/>
          <w:szCs w:val="28"/>
          <w:lang w:val="fr-FR"/>
        </w:rPr>
        <w:t>s</w:t>
      </w:r>
      <w:proofErr w:type="spellEnd"/>
      <w:r w:rsidR="00B46C54">
        <w:rPr>
          <w:rFonts w:ascii="Arial Narrow" w:hAnsi="Arial Narrow" w:cs="Arial Narrow"/>
          <w:sz w:val="28"/>
          <w:szCs w:val="28"/>
          <w:lang w:val="fr-FR"/>
        </w:rPr>
        <w:t xml:space="preserve"> : </w:t>
      </w:r>
      <w:r w:rsidR="00B46C54">
        <w:rPr>
          <w:rFonts w:ascii="Arial Narrow" w:hAnsi="Arial Narrow" w:cs="Arial Narrow"/>
          <w:sz w:val="28"/>
          <w:szCs w:val="28"/>
          <w:lang w:val="fr-FR"/>
        </w:rPr>
        <w:br/>
        <w:t>exemples de deux pratiques de recherche autour du</w:t>
      </w:r>
      <w:r>
        <w:rPr>
          <w:rFonts w:ascii="Arial Narrow" w:hAnsi="Arial Narrow" w:cs="Arial Narrow"/>
          <w:sz w:val="28"/>
          <w:szCs w:val="28"/>
          <w:lang w:val="fr-FR"/>
        </w:rPr>
        <w:t xml:space="preserve"> geste créatif </w:t>
      </w:r>
      <w:r w:rsidR="00B46C54">
        <w:rPr>
          <w:rFonts w:ascii="Arial Narrow" w:hAnsi="Arial Narrow" w:cs="Arial Narrow"/>
          <w:sz w:val="28"/>
          <w:szCs w:val="28"/>
          <w:lang w:val="fr-FR"/>
        </w:rPr>
        <w:t>fixé ou interactif</w:t>
      </w:r>
      <w:r w:rsidRPr="000013CA">
        <w:rPr>
          <w:rFonts w:ascii="Arial Narrow" w:hAnsi="Arial Narrow" w:cs="Arial Narrow"/>
          <w:sz w:val="28"/>
          <w:szCs w:val="28"/>
          <w:lang w:val="fr-FR"/>
        </w:rPr>
        <w:t> »</w:t>
      </w:r>
    </w:p>
    <w:p w:rsidR="000013CA" w:rsidRPr="000013CA" w:rsidRDefault="000013CA" w:rsidP="007A572B">
      <w:pPr>
        <w:pStyle w:val="Formatlibre"/>
        <w:rPr>
          <w:rFonts w:ascii="Arial Narrow" w:hAnsi="Arial Narrow" w:cs="Arial Narrow"/>
          <w:sz w:val="24"/>
          <w:szCs w:val="28"/>
          <w:lang w:val="fr-FR"/>
        </w:rPr>
      </w:pPr>
    </w:p>
    <w:p w:rsidR="000013CA" w:rsidRDefault="000013CA" w:rsidP="000013CA">
      <w:pPr>
        <w:pStyle w:val="Formatlibre"/>
        <w:jc w:val="center"/>
      </w:pPr>
      <w:r>
        <w:rPr>
          <w:rFonts w:ascii="Arial Narrow" w:hAnsi="Arial Narrow" w:cs="Arial Narrow"/>
          <w:b/>
          <w:sz w:val="28"/>
          <w:lang w:val="fr-FR"/>
        </w:rPr>
        <w:t>Vincent Tiffon</w:t>
      </w:r>
    </w:p>
    <w:p w:rsidR="000013CA" w:rsidRDefault="000013CA" w:rsidP="000013CA">
      <w:pPr>
        <w:pStyle w:val="Formatlibre"/>
        <w:jc w:val="center"/>
        <w:rPr>
          <w:rFonts w:ascii="Arial Narrow" w:hAnsi="Arial Narrow" w:cs="Arial Narrow"/>
          <w:sz w:val="24"/>
          <w:lang w:val="fr-FR"/>
        </w:rPr>
      </w:pPr>
    </w:p>
    <w:p w:rsidR="000013CA" w:rsidRDefault="000013CA" w:rsidP="00B46C54">
      <w:pPr>
        <w:pStyle w:val="Formatlibre"/>
        <w:jc w:val="center"/>
      </w:pPr>
      <w:r>
        <w:rPr>
          <w:rFonts w:ascii="Arial Narrow" w:hAnsi="Arial Narrow" w:cs="Arial Narrow"/>
          <w:sz w:val="18"/>
          <w:lang w:val="fr-FR"/>
        </w:rPr>
        <w:t xml:space="preserve">PR Musicologie, </w:t>
      </w:r>
      <w:r w:rsidR="00B46C54">
        <w:rPr>
          <w:rFonts w:ascii="Arial Narrow" w:hAnsi="Arial Narrow" w:cs="Arial Narrow"/>
          <w:sz w:val="18"/>
          <w:lang w:val="fr-FR"/>
        </w:rPr>
        <w:t>Aix-Marseille Université</w:t>
      </w:r>
    </w:p>
    <w:p w:rsidR="00B46C54" w:rsidRPr="001C00AE" w:rsidRDefault="00B46C54" w:rsidP="00B46C54">
      <w:pPr>
        <w:pStyle w:val="Formatlibre"/>
        <w:jc w:val="center"/>
        <w:rPr>
          <w:rFonts w:ascii="Arial Narrow" w:hAnsi="Arial Narrow"/>
          <w:lang w:val="fr-FR"/>
        </w:rPr>
      </w:pPr>
      <w:hyperlink r:id="rId7" w:history="1">
        <w:r w:rsidRPr="001C00AE">
          <w:rPr>
            <w:rStyle w:val="Lienhypertexte"/>
            <w:rFonts w:ascii="Arial Narrow" w:hAnsi="Arial Narrow"/>
            <w:lang w:val="fr-FR"/>
          </w:rPr>
          <w:t>tiffon@prism.cnrs.fr</w:t>
        </w:r>
      </w:hyperlink>
      <w:r w:rsidRPr="001C00AE">
        <w:rPr>
          <w:rFonts w:ascii="Arial Narrow" w:hAnsi="Arial Narrow"/>
          <w:lang w:val="fr-FR"/>
        </w:rPr>
        <w:t xml:space="preserve"> </w:t>
      </w:r>
    </w:p>
    <w:p w:rsidR="000013CA" w:rsidRDefault="000013CA" w:rsidP="000013CA">
      <w:pPr>
        <w:pStyle w:val="WW-Standard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both"/>
      </w:pPr>
      <w:r w:rsidRPr="00B46C54">
        <w:rPr>
          <w:rFonts w:ascii="Arial Narrow" w:hAnsi="Arial Narrow" w:cs="Arial Narrow"/>
          <w:b/>
          <w:bCs/>
          <w:i/>
          <w:szCs w:val="24"/>
        </w:rPr>
        <w:t>Résumé</w:t>
      </w:r>
    </w:p>
    <w:p w:rsidR="000013CA" w:rsidRDefault="000013CA" w:rsidP="000013CA">
      <w:pPr>
        <w:pStyle w:val="Formatlibre"/>
        <w:jc w:val="both"/>
        <w:rPr>
          <w:rFonts w:ascii="Arial Narrow" w:hAnsi="Arial Narrow" w:cs="Arial Narrow"/>
          <w:sz w:val="24"/>
          <w:szCs w:val="24"/>
          <w:lang w:val="fr-FR"/>
        </w:rPr>
      </w:pPr>
    </w:p>
    <w:p w:rsidR="00B46C54" w:rsidRDefault="000013CA" w:rsidP="000013CA">
      <w:pPr>
        <w:suppressAutoHyphens/>
        <w:jc w:val="both"/>
        <w:rPr>
          <w:rFonts w:ascii="Arial Narrow" w:eastAsia="ヒラギノ角ゴ Pro W3" w:hAnsi="Arial Narrow" w:cs="Arial Narrow"/>
          <w:lang w:val="fr-FR"/>
        </w:rPr>
      </w:pPr>
      <w:r>
        <w:rPr>
          <w:rFonts w:ascii="Arial Narrow" w:eastAsia="ヒラギノ角ゴ Pro W3" w:hAnsi="Arial Narrow" w:cs="Arial Narrow"/>
          <w:lang w:val="fr-FR"/>
        </w:rPr>
        <w:t xml:space="preserve">Entre philologie, </w:t>
      </w:r>
      <w:r>
        <w:rPr>
          <w:rFonts w:ascii="Arial Narrow" w:eastAsia="ヒラギノ角ゴ Pro W3" w:hAnsi="Arial Narrow" w:cs="Arial Narrow"/>
          <w:i/>
          <w:iCs/>
          <w:lang w:val="fr-FR"/>
        </w:rPr>
        <w:t xml:space="preserve">sketch </w:t>
      </w:r>
      <w:proofErr w:type="spellStart"/>
      <w:r>
        <w:rPr>
          <w:rFonts w:ascii="Arial Narrow" w:eastAsia="ヒラギノ角ゴ Pro W3" w:hAnsi="Arial Narrow" w:cs="Arial Narrow"/>
          <w:i/>
          <w:iCs/>
          <w:lang w:val="fr-FR"/>
        </w:rPr>
        <w:t>studies</w:t>
      </w:r>
      <w:proofErr w:type="spellEnd"/>
      <w:r w:rsidR="00B46C54">
        <w:rPr>
          <w:rFonts w:ascii="Arial Narrow" w:eastAsia="ヒラギノ角ゴ Pro W3" w:hAnsi="Arial Narrow" w:cs="Arial Narrow"/>
          <w:lang w:val="fr-FR"/>
        </w:rPr>
        <w:t xml:space="preserve">, </w:t>
      </w:r>
      <w:r>
        <w:rPr>
          <w:rFonts w:ascii="Arial Narrow" w:eastAsia="ヒラギノ角ゴ Pro W3" w:hAnsi="Arial Narrow" w:cs="Arial Narrow"/>
          <w:lang w:val="fr-FR"/>
        </w:rPr>
        <w:t>analyse des processus de composition,</w:t>
      </w:r>
      <w:r w:rsidR="007A572B">
        <w:rPr>
          <w:rFonts w:ascii="Arial Narrow" w:eastAsia="ヒラギノ角ゴ Pro W3" w:hAnsi="Arial Narrow" w:cs="Arial Narrow"/>
          <w:lang w:val="fr-FR"/>
        </w:rPr>
        <w:t xml:space="preserve"> et de</w:t>
      </w:r>
      <w:r>
        <w:rPr>
          <w:rFonts w:ascii="Arial Narrow" w:eastAsia="ヒラギノ角ゴ Pro W3" w:hAnsi="Arial Narrow" w:cs="Arial Narrow"/>
          <w:lang w:val="fr-FR"/>
        </w:rPr>
        <w:t xml:space="preserve"> </w:t>
      </w:r>
      <w:r w:rsidR="00B46C54">
        <w:rPr>
          <w:rFonts w:ascii="Arial Narrow" w:eastAsia="ヒラギノ角ゴ Pro W3" w:hAnsi="Arial Narrow" w:cs="Arial Narrow"/>
          <w:lang w:val="fr-FR"/>
        </w:rPr>
        <w:t>recherche-</w:t>
      </w:r>
      <w:r w:rsidR="007A572B">
        <w:rPr>
          <w:rFonts w:ascii="Arial Narrow" w:eastAsia="ヒラギノ角ゴ Pro W3" w:hAnsi="Arial Narrow" w:cs="Arial Narrow"/>
          <w:lang w:val="fr-FR"/>
        </w:rPr>
        <w:t>c</w:t>
      </w:r>
      <w:r w:rsidR="00B46C54">
        <w:rPr>
          <w:rFonts w:ascii="Arial Narrow" w:eastAsia="ヒラギノ角ゴ Pro W3" w:hAnsi="Arial Narrow" w:cs="Arial Narrow"/>
          <w:lang w:val="fr-FR"/>
        </w:rPr>
        <w:t xml:space="preserve">réation de dispositifs immersifs et interactifs (non </w:t>
      </w:r>
      <w:proofErr w:type="spellStart"/>
      <w:r w:rsidR="00B46C54">
        <w:rPr>
          <w:rFonts w:ascii="Arial Narrow" w:eastAsia="ヒラギノ角ゴ Pro W3" w:hAnsi="Arial Narrow" w:cs="Arial Narrow"/>
          <w:lang w:val="fr-FR"/>
        </w:rPr>
        <w:t>haptiques</w:t>
      </w:r>
      <w:proofErr w:type="spellEnd"/>
      <w:r w:rsidR="00B46C54">
        <w:rPr>
          <w:rFonts w:ascii="Arial Narrow" w:eastAsia="ヒラギノ角ゴ Pro W3" w:hAnsi="Arial Narrow" w:cs="Arial Narrow"/>
          <w:lang w:val="fr-FR"/>
        </w:rPr>
        <w:t xml:space="preserve">), cette présentation vise à </w:t>
      </w:r>
      <w:r w:rsidR="00A129F8">
        <w:rPr>
          <w:rFonts w:ascii="Arial Narrow" w:eastAsia="ヒラギノ角ゴ Pro W3" w:hAnsi="Arial Narrow" w:cs="Arial Narrow"/>
          <w:lang w:val="fr-FR"/>
        </w:rPr>
        <w:t>décrire</w:t>
      </w:r>
      <w:r w:rsidR="00B46C54">
        <w:rPr>
          <w:rFonts w:ascii="Arial Narrow" w:eastAsia="ヒラギノ角ゴ Pro W3" w:hAnsi="Arial Narrow" w:cs="Arial Narrow"/>
          <w:lang w:val="fr-FR"/>
        </w:rPr>
        <w:t xml:space="preserve"> deux manières de</w:t>
      </w:r>
      <w:r>
        <w:rPr>
          <w:rFonts w:ascii="Arial Narrow" w:eastAsia="ヒラギノ角ゴ Pro W3" w:hAnsi="Arial Narrow" w:cs="Arial Narrow"/>
          <w:lang w:val="fr-FR"/>
        </w:rPr>
        <w:t xml:space="preserve"> « faire parler » </w:t>
      </w:r>
      <w:r w:rsidR="00FC2E3E">
        <w:rPr>
          <w:rFonts w:ascii="Arial Narrow" w:eastAsia="ヒラギノ角ゴ Pro W3" w:hAnsi="Arial Narrow" w:cs="Arial Narrow"/>
          <w:lang w:val="fr-FR"/>
        </w:rPr>
        <w:t>et de générer l</w:t>
      </w:r>
      <w:r>
        <w:rPr>
          <w:rFonts w:ascii="Arial Narrow" w:eastAsia="ヒラギノ角ゴ Pro W3" w:hAnsi="Arial Narrow" w:cs="Arial Narrow"/>
          <w:lang w:val="fr-FR"/>
        </w:rPr>
        <w:t xml:space="preserve">es traces </w:t>
      </w:r>
      <w:r w:rsidR="00B46C54">
        <w:rPr>
          <w:rFonts w:ascii="Arial Narrow" w:eastAsia="ヒラギノ角ゴ Pro W3" w:hAnsi="Arial Narrow" w:cs="Arial Narrow"/>
          <w:lang w:val="fr-FR"/>
        </w:rPr>
        <w:t>des gestes créatifs des</w:t>
      </w:r>
      <w:r>
        <w:rPr>
          <w:rFonts w:ascii="Arial Narrow" w:eastAsia="ヒラギノ角ゴ Pro W3" w:hAnsi="Arial Narrow" w:cs="Arial Narrow"/>
          <w:lang w:val="fr-FR"/>
        </w:rPr>
        <w:t xml:space="preserve"> compositeurs ou </w:t>
      </w:r>
      <w:r w:rsidR="00B46C54">
        <w:rPr>
          <w:rFonts w:ascii="Arial Narrow" w:eastAsia="ヒラギノ角ゴ Pro W3" w:hAnsi="Arial Narrow" w:cs="Arial Narrow"/>
          <w:lang w:val="fr-FR"/>
        </w:rPr>
        <w:t>des</w:t>
      </w:r>
      <w:r>
        <w:rPr>
          <w:rFonts w:ascii="Arial Narrow" w:eastAsia="ヒラギノ角ゴ Pro W3" w:hAnsi="Arial Narrow" w:cs="Arial Narrow"/>
          <w:lang w:val="fr-FR"/>
        </w:rPr>
        <w:t xml:space="preserve"> collectifs d’artistes. </w:t>
      </w:r>
    </w:p>
    <w:p w:rsidR="000013CA" w:rsidRPr="00B46C54" w:rsidRDefault="00FC2E3E" w:rsidP="00B46C54">
      <w:pPr>
        <w:suppressAutoHyphens/>
        <w:jc w:val="both"/>
        <w:rPr>
          <w:rFonts w:ascii="Arial Narrow" w:eastAsia="ヒラギノ角ゴ Pro W3" w:hAnsi="Arial Narrow" w:cs="Arial Narrow"/>
          <w:lang w:val="fr-FR"/>
        </w:rPr>
      </w:pPr>
      <w:r>
        <w:rPr>
          <w:rFonts w:ascii="Arial Narrow" w:eastAsia="ヒラギノ角ゴ Pro W3" w:hAnsi="Arial Narrow" w:cs="Arial Narrow"/>
          <w:lang w:val="fr-FR"/>
        </w:rPr>
        <w:t>Issus de deux projets ANR, ces pratiques de recherche ouvrent la musicologie à des méthodologies exogènes, renforçant par là-même son caractère intrinsèquement interdisciplinaire.</w:t>
      </w:r>
    </w:p>
    <w:p w:rsidR="000013CA" w:rsidRDefault="000013CA" w:rsidP="000013CA">
      <w:pPr>
        <w:pStyle w:val="Formatlibre"/>
        <w:jc w:val="both"/>
        <w:rPr>
          <w:rFonts w:ascii="Arial Narrow" w:hAnsi="Arial Narrow" w:cs="Arial Narrow"/>
          <w:sz w:val="24"/>
          <w:szCs w:val="24"/>
          <w:lang w:val="fr-FR"/>
        </w:rPr>
      </w:pPr>
    </w:p>
    <w:p w:rsidR="000013CA" w:rsidRDefault="000013CA" w:rsidP="000013CA">
      <w:pPr>
        <w:pStyle w:val="WW-Standard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both"/>
      </w:pPr>
      <w:proofErr w:type="spellStart"/>
      <w:r>
        <w:rPr>
          <w:rFonts w:ascii="Helvetica Neue" w:hAnsi="Helvetica Neue" w:cs="Helvetica Neue"/>
          <w:b/>
          <w:bCs/>
          <w:i/>
          <w:szCs w:val="24"/>
        </w:rPr>
        <w:t>Bibiographie</w:t>
      </w:r>
      <w:proofErr w:type="spellEnd"/>
      <w:r w:rsidR="00EA520C">
        <w:rPr>
          <w:rFonts w:ascii="Helvetica Neue" w:hAnsi="Helvetica Neue" w:cs="Helvetica Neue"/>
          <w:b/>
          <w:bCs/>
          <w:i/>
          <w:szCs w:val="24"/>
        </w:rPr>
        <w:t xml:space="preserve"> personnelle</w:t>
      </w:r>
      <w:r>
        <w:rPr>
          <w:rFonts w:ascii="Helvetica Neue" w:hAnsi="Helvetica Neue" w:cs="Helvetica Neue"/>
          <w:b/>
          <w:bCs/>
          <w:i/>
          <w:szCs w:val="24"/>
        </w:rPr>
        <w:t xml:space="preserve"> minimale</w:t>
      </w:r>
    </w:p>
    <w:p w:rsidR="00A129F8" w:rsidRDefault="00A129F8" w:rsidP="00A12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  <w:tab w:val="left" w:pos="2160"/>
          <w:tab w:val="left" w:pos="9502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fr-FR" w:eastAsia="zh-CN"/>
        </w:rPr>
      </w:pPr>
    </w:p>
    <w:p w:rsidR="00A129F8" w:rsidRPr="00EA5939" w:rsidRDefault="00A129F8" w:rsidP="00EA5939">
      <w:pPr>
        <w:pStyle w:val="Formatlibre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EA5939">
        <w:rPr>
          <w:rFonts w:ascii="Arial Narrow" w:hAnsi="Arial Narrow" w:cs="Arial"/>
          <w:sz w:val="22"/>
          <w:szCs w:val="22"/>
          <w:lang w:val="fr-FR"/>
        </w:rPr>
        <w:t xml:space="preserve">Tiffon Vincent (2005), « Pour une médiologie musicale comme mode original de connaissance en musicologie », </w:t>
      </w:r>
      <w:r w:rsidRPr="00245485">
        <w:rPr>
          <w:rFonts w:ascii="Arial Narrow" w:hAnsi="Arial Narrow" w:cs="Arial"/>
          <w:i/>
          <w:iCs/>
          <w:sz w:val="22"/>
          <w:szCs w:val="22"/>
          <w:lang w:val="fr-FR"/>
        </w:rPr>
        <w:t>Revue Filigrane n°1</w:t>
      </w:r>
      <w:r w:rsidRPr="00EA5939">
        <w:rPr>
          <w:rFonts w:ascii="Arial Narrow" w:hAnsi="Arial Narrow" w:cs="Arial"/>
          <w:sz w:val="22"/>
          <w:szCs w:val="22"/>
          <w:lang w:val="fr-FR"/>
        </w:rPr>
        <w:t xml:space="preserve">,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Sampzon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,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Editions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Delatour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>, 1</w:t>
      </w:r>
      <w:r w:rsidRPr="00EA5939">
        <w:rPr>
          <w:rFonts w:ascii="Arial Narrow" w:hAnsi="Arial Narrow" w:cs="Arial"/>
          <w:sz w:val="22"/>
          <w:szCs w:val="22"/>
          <w:vertAlign w:val="superscript"/>
          <w:lang w:val="fr-FR"/>
        </w:rPr>
        <w:t>er</w:t>
      </w:r>
      <w:r w:rsidRPr="00EA5939">
        <w:rPr>
          <w:rFonts w:ascii="Arial Narrow" w:hAnsi="Arial Narrow" w:cs="Arial"/>
          <w:sz w:val="22"/>
          <w:szCs w:val="22"/>
          <w:lang w:val="fr-FR"/>
        </w:rPr>
        <w:t xml:space="preserve"> semestre 2005, p. 115-139, disponible via </w:t>
      </w:r>
      <w:hyperlink r:id="rId8" w:history="1">
        <w:r w:rsidRPr="00EA5939">
          <w:rPr>
            <w:rFonts w:ascii="Arial Narrow" w:hAnsi="Arial Narrow" w:cs="Arial"/>
            <w:color w:val="000099"/>
            <w:sz w:val="22"/>
            <w:szCs w:val="22"/>
            <w:u w:val="single" w:color="000099"/>
            <w:lang w:val="fr-FR"/>
          </w:rPr>
          <w:t>http://revues.mshparisnord.org/filigrane/index.php?id=78</w:t>
        </w:r>
      </w:hyperlink>
    </w:p>
    <w:p w:rsidR="00EA5939" w:rsidRPr="00EA5939" w:rsidRDefault="00EA5939" w:rsidP="00EA5939">
      <w:pPr>
        <w:pStyle w:val="Formatlibre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EA5939">
        <w:rPr>
          <w:rFonts w:ascii="Arial Narrow" w:hAnsi="Arial Narrow" w:cs="Arial"/>
          <w:sz w:val="22"/>
          <w:szCs w:val="22"/>
          <w:lang w:val="en-US"/>
        </w:rPr>
        <w:t xml:space="preserve">Vincent Tiffon,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Noémie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 Sprenger-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Ohana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 (2011), “The Creative process in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Traiettoria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:  An Account of the Genesis of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Stroppa’s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 Musical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Thougt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”, in Nicolas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Donin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, ed., “(De)composing Sound”, </w:t>
      </w:r>
      <w:r w:rsidRPr="00245485">
        <w:rPr>
          <w:rFonts w:ascii="Arial Narrow" w:hAnsi="Arial Narrow" w:cs="Arial"/>
          <w:i/>
          <w:iCs/>
          <w:sz w:val="22"/>
          <w:szCs w:val="22"/>
          <w:lang w:val="en-US"/>
        </w:rPr>
        <w:t>Contemporary Music Review</w:t>
      </w:r>
      <w:r w:rsidRPr="00EA5939">
        <w:rPr>
          <w:rFonts w:ascii="Arial Narrow" w:hAnsi="Arial Narrow" w:cs="Arial"/>
          <w:sz w:val="22"/>
          <w:szCs w:val="22"/>
          <w:lang w:val="en-US"/>
        </w:rPr>
        <w:t>, vol. 30, Part 5, pp. 377-410.</w:t>
      </w:r>
    </w:p>
    <w:p w:rsidR="003E0ED2" w:rsidRPr="00EA5939" w:rsidRDefault="00A129F8" w:rsidP="00EA5939">
      <w:pPr>
        <w:pStyle w:val="Formatlibr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EA5939">
        <w:rPr>
          <w:rFonts w:ascii="Arial Narrow" w:hAnsi="Arial Narrow" w:cs="Arial"/>
          <w:sz w:val="22"/>
          <w:szCs w:val="22"/>
          <w:lang w:val="fr-FR"/>
        </w:rPr>
        <w:t xml:space="preserve">Tiffon Vincent (2012), « Comment réactiver le processus d'individuation par la participation : exemple du projet XY, installation sonore immersive et interactive », in Josette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Feral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 (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dir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.), </w:t>
      </w:r>
      <w:r w:rsidRPr="00245485">
        <w:rPr>
          <w:rFonts w:ascii="Arial Narrow" w:hAnsi="Arial Narrow" w:cs="Arial"/>
          <w:i/>
          <w:iCs/>
          <w:sz w:val="22"/>
          <w:szCs w:val="22"/>
          <w:lang w:val="fr-FR"/>
        </w:rPr>
        <w:t>Pratiques performatives</w:t>
      </w:r>
      <w:r w:rsidRPr="00EA5939">
        <w:rPr>
          <w:rFonts w:ascii="Arial Narrow" w:hAnsi="Arial Narrow" w:cs="Arial"/>
          <w:sz w:val="22"/>
          <w:szCs w:val="22"/>
          <w:lang w:val="fr-FR"/>
        </w:rPr>
        <w:t>, Rennes, Presses Universitaires de Rennes, 2012, p. 267-278.</w:t>
      </w:r>
    </w:p>
    <w:p w:rsidR="003E0ED2" w:rsidRPr="00EA5939" w:rsidRDefault="003E0ED2" w:rsidP="00EA5939">
      <w:pPr>
        <w:pStyle w:val="Formatlibr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 w:cs="Arial"/>
          <w:sz w:val="22"/>
          <w:szCs w:val="22"/>
          <w:lang w:val="fr-FR"/>
        </w:rPr>
      </w:pP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Sprenger-Ogana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EA5939">
        <w:rPr>
          <w:rFonts w:ascii="Arial Narrow" w:hAnsi="Arial Narrow" w:cs="Arial"/>
          <w:sz w:val="22"/>
          <w:szCs w:val="22"/>
          <w:lang w:val="fr-FR"/>
        </w:rPr>
        <w:t>Noémie,Tiffon</w:t>
      </w:r>
      <w:proofErr w:type="spellEnd"/>
      <w:proofErr w:type="gram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 Vincent (2012), «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Traiettoria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, l’atelier dans l’atelier du compositeur Marco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Stroppa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», </w:t>
      </w:r>
      <w:r w:rsidRPr="00245485">
        <w:rPr>
          <w:rFonts w:ascii="Arial Narrow" w:hAnsi="Arial Narrow" w:cs="Arial"/>
          <w:i/>
          <w:iCs/>
          <w:sz w:val="22"/>
          <w:szCs w:val="22"/>
          <w:lang w:val="fr-FR"/>
        </w:rPr>
        <w:t>Revue de Musicologie</w:t>
      </w:r>
      <w:r w:rsidRPr="00EA5939">
        <w:rPr>
          <w:rFonts w:ascii="Arial Narrow" w:hAnsi="Arial Narrow" w:cs="Arial"/>
          <w:sz w:val="22"/>
          <w:szCs w:val="22"/>
          <w:lang w:val="fr-FR"/>
        </w:rPr>
        <w:t>, 98-1, p. 193-220.</w:t>
      </w:r>
    </w:p>
    <w:p w:rsidR="003E0ED2" w:rsidRPr="00EA5939" w:rsidRDefault="003E0ED2" w:rsidP="00EA5939">
      <w:pPr>
        <w:pStyle w:val="Formatlibre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EA5939">
        <w:rPr>
          <w:rFonts w:ascii="Arial Narrow" w:hAnsi="Arial Narrow" w:cs="Arial"/>
          <w:sz w:val="22"/>
          <w:szCs w:val="22"/>
          <w:lang w:val="fr-FR"/>
        </w:rPr>
        <w:t xml:space="preserve">Tiffon Vincent (2013), « Musique mixte », in Nicolas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Donin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 et Laurent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Feneyrou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EA5939">
        <w:rPr>
          <w:rFonts w:ascii="Arial Narrow" w:hAnsi="Arial Narrow" w:cs="Arial"/>
          <w:sz w:val="22"/>
          <w:szCs w:val="22"/>
          <w:lang w:val="fr-FR"/>
        </w:rPr>
        <w:t>éds</w:t>
      </w:r>
      <w:proofErr w:type="spellEnd"/>
      <w:r w:rsidRPr="00EA5939">
        <w:rPr>
          <w:rFonts w:ascii="Arial Narrow" w:hAnsi="Arial Narrow" w:cs="Arial"/>
          <w:sz w:val="22"/>
          <w:szCs w:val="22"/>
          <w:lang w:val="fr-FR"/>
        </w:rPr>
        <w:t xml:space="preserve">., </w:t>
      </w:r>
      <w:r w:rsidRPr="00245485">
        <w:rPr>
          <w:rFonts w:ascii="Arial Narrow" w:hAnsi="Arial Narrow" w:cs="Arial"/>
          <w:i/>
          <w:iCs/>
          <w:sz w:val="22"/>
          <w:szCs w:val="22"/>
          <w:lang w:val="fr-FR"/>
        </w:rPr>
        <w:t>Les Théories de la composition musicale au XXe siècle</w:t>
      </w:r>
      <w:r w:rsidRPr="00EA5939">
        <w:rPr>
          <w:rFonts w:ascii="Arial Narrow" w:hAnsi="Arial Narrow" w:cs="Arial"/>
          <w:sz w:val="22"/>
          <w:szCs w:val="22"/>
          <w:lang w:val="fr-FR"/>
        </w:rPr>
        <w:t>, Lyon, Symétrie, p. 1297-1314.</w:t>
      </w:r>
    </w:p>
    <w:p w:rsidR="00A129F8" w:rsidRPr="00EA5939" w:rsidRDefault="00A129F8" w:rsidP="00EA5939">
      <w:pPr>
        <w:pStyle w:val="Formatlibre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EA5939">
        <w:rPr>
          <w:rFonts w:ascii="Arial Narrow" w:hAnsi="Arial Narrow" w:cs="Arial"/>
          <w:sz w:val="22"/>
          <w:szCs w:val="22"/>
          <w:lang w:val="en-US"/>
        </w:rPr>
        <w:t xml:space="preserve">Tiffon Vincent (2018), « Experiencing Music as Strong Works or as Games: The Examination of Learning Processes in the Production and Reception of Live Electronic Music », in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Sallis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Friedemann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, Laura </w:t>
      </w:r>
      <w:proofErr w:type="spellStart"/>
      <w:r w:rsidRPr="00EA5939">
        <w:rPr>
          <w:rFonts w:ascii="Arial Narrow" w:hAnsi="Arial Narrow" w:cs="Arial"/>
          <w:sz w:val="22"/>
          <w:szCs w:val="22"/>
          <w:lang w:val="en-US"/>
        </w:rPr>
        <w:t>Zattra</w:t>
      </w:r>
      <w:proofErr w:type="spellEnd"/>
      <w:r w:rsidRPr="00EA5939">
        <w:rPr>
          <w:rFonts w:ascii="Arial Narrow" w:hAnsi="Arial Narrow" w:cs="Arial"/>
          <w:sz w:val="22"/>
          <w:szCs w:val="22"/>
          <w:lang w:val="en-US"/>
        </w:rPr>
        <w:t xml:space="preserve">, Ian Burleigh ed., </w:t>
      </w:r>
      <w:r w:rsidRPr="00245485">
        <w:rPr>
          <w:rFonts w:ascii="Arial Narrow" w:hAnsi="Arial Narrow" w:cs="Arial"/>
          <w:i/>
          <w:iCs/>
          <w:sz w:val="22"/>
          <w:szCs w:val="22"/>
          <w:lang w:val="en-US"/>
        </w:rPr>
        <w:t>Live-electronic Music: Composition</w:t>
      </w:r>
      <w:r w:rsidRPr="00EA5939">
        <w:rPr>
          <w:rFonts w:ascii="Arial Narrow" w:hAnsi="Arial Narrow" w:cs="Arial"/>
          <w:sz w:val="22"/>
          <w:szCs w:val="22"/>
          <w:lang w:val="en-US"/>
        </w:rPr>
        <w:t>, Performance, Study, Routledge.</w:t>
      </w:r>
    </w:p>
    <w:p w:rsidR="00A129F8" w:rsidRPr="003E0ED2" w:rsidRDefault="00A129F8" w:rsidP="00A129F8">
      <w:pPr>
        <w:pStyle w:val="Formatlibre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0013CA" w:rsidRDefault="000013CA" w:rsidP="000013CA">
      <w:pPr>
        <w:pStyle w:val="WW-Standard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both"/>
      </w:pPr>
      <w:r w:rsidRPr="000013CA">
        <w:rPr>
          <w:rFonts w:ascii="Arial Narrow" w:hAnsi="Arial Narrow" w:cs="Arial Narrow"/>
          <w:b/>
          <w:bCs/>
          <w:i/>
          <w:szCs w:val="24"/>
        </w:rPr>
        <w:t>Notice bio - courte</w:t>
      </w:r>
    </w:p>
    <w:p w:rsidR="000013CA" w:rsidRPr="000013CA" w:rsidRDefault="000013CA" w:rsidP="000013CA">
      <w:pPr>
        <w:widowControl w:val="0"/>
        <w:suppressAutoHyphens/>
        <w:rPr>
          <w:lang w:val="fr-FR"/>
        </w:rPr>
      </w:pPr>
    </w:p>
    <w:p w:rsidR="00EA520C" w:rsidRDefault="00EA520C" w:rsidP="00EA5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  <w:lang w:val="fr-FR" w:eastAsia="zh-CN"/>
        </w:rPr>
      </w:pP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Agrégé de musique, Vincent Tiffon est Professeur </w:t>
      </w:r>
      <w:r w:rsidR="00376745"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en</w:t>
      </w: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 musicologie à Aix-Marseille Université depuis septembre 2019, </w:t>
      </w:r>
      <w:r w:rsidR="00376745"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responsable du Master « Acoustique et musicologie » et </w:t>
      </w: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chercheur au laboratoire PRISM</w:t>
      </w:r>
      <w:r w:rsidR="00376745"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 (UMR 7061)</w:t>
      </w: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, </w:t>
      </w:r>
      <w:r w:rsidR="007A572B"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où</w:t>
      </w: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 il est responsable du Fonds d’archives « Jean-Claude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Risset</w:t>
      </w:r>
      <w:proofErr w:type="spellEnd"/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 ». De 1999 à 2019, il a été chercheur au CEAC (Centre d’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Etude</w:t>
      </w:r>
      <w:proofErr w:type="spellEnd"/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 des Arts Contemporains), co-fondateur et co-responsable de l'équipe EDESAC à l’</w:t>
      </w:r>
      <w:r w:rsidR="007A572B"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U</w:t>
      </w: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niversité de Lille. Il est par ailleurs chercheur associé au sein de l’équipe APM (IRCAM-CNRS-UPMC) à Paris. </w:t>
      </w:r>
    </w:p>
    <w:p w:rsidR="00EA5939" w:rsidRDefault="00EA520C" w:rsidP="00EA5939">
      <w:pPr>
        <w:jc w:val="both"/>
        <w:rPr>
          <w:rFonts w:ascii="Arial Narrow" w:hAnsi="Arial Narrow" w:cs="Arial Narrow"/>
          <w:color w:val="000000"/>
          <w:sz w:val="22"/>
          <w:szCs w:val="22"/>
          <w:lang w:val="fr-FR" w:eastAsia="zh-CN"/>
        </w:rPr>
      </w:pP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Spécialiste de l’histoire, l’analyse des processus de création et l’esthétique des musiques électroacoustiques et mixtes, il développe parallèlement des travaux en AST (Art-Science-Technologie) sur la médiologie musicale (étude des interactions entre les innovations techniques et les inventions musicales). Il est publié dans </w:t>
      </w:r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AAA/TAC (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Acoustic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 Arts &amp; 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Artifacts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/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Technology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, 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Aesthetics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, Communication), Analyse musicale, Les Cahiers du 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Cirem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, Les Cahiers de Médiologie, CMR (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Contemporary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 Music 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Review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), </w:t>
      </w:r>
      <w:r w:rsidR="008F71C6"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CMMR</w:t>
      </w:r>
      <w:r w:rsidR="00A129F8"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2019</w:t>
      </w:r>
      <w:r w:rsidR="008F71C6"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, 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DEMéter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, Filigrane, LIEN, Medium, MEI (Médiation et communication), </w:t>
      </w:r>
      <w:proofErr w:type="spellStart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>Musurgia</w:t>
      </w:r>
      <w:proofErr w:type="spellEnd"/>
      <w:r>
        <w:rPr>
          <w:rFonts w:ascii="Arial Narrow" w:hAnsi="Arial Narrow" w:cs="Arial Narrow"/>
          <w:i/>
          <w:iCs/>
          <w:color w:val="000000"/>
          <w:sz w:val="22"/>
          <w:szCs w:val="22"/>
          <w:lang w:val="fr-FR" w:eastAsia="zh-CN"/>
        </w:rPr>
        <w:t xml:space="preserve">, NUNC, La Revue de Musicologie, SMC2011, </w:t>
      </w: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>ainsi que dans plusieurs ouvrages collectifs (Symétrie, LIM, PUR, Hermann, PUP...)</w:t>
      </w:r>
    </w:p>
    <w:p w:rsidR="00EA5939" w:rsidRPr="00EA5939" w:rsidRDefault="00EA5939" w:rsidP="00EA5939">
      <w:pPr>
        <w:jc w:val="both"/>
        <w:rPr>
          <w:rFonts w:ascii="Arial Narrow" w:hAnsi="Arial Narrow" w:cs="Arial Narrow"/>
          <w:color w:val="000000"/>
          <w:sz w:val="22"/>
          <w:szCs w:val="22"/>
          <w:lang w:val="fr-FR" w:eastAsia="zh-CN"/>
        </w:rPr>
      </w:pPr>
      <w:r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Cv détaillé : </w:t>
      </w:r>
      <w:hyperlink r:id="rId9" w:history="1">
        <w:r w:rsidR="008E50ED" w:rsidRPr="00C6313F">
          <w:rPr>
            <w:rStyle w:val="Lienhypertexte"/>
            <w:rFonts w:ascii="Arial Narrow" w:hAnsi="Arial Narrow" w:cs="Arial Narrow"/>
            <w:sz w:val="22"/>
            <w:szCs w:val="22"/>
            <w:lang w:val="fr-FR" w:eastAsia="zh-CN"/>
          </w:rPr>
          <w:t>https://cloud.prism.cnrs.fr/index.php/s/SaHH2XnBfRFY7k3</w:t>
        </w:r>
      </w:hyperlink>
      <w:r w:rsidR="008E50ED">
        <w:rPr>
          <w:rFonts w:ascii="Arial Narrow" w:hAnsi="Arial Narrow" w:cs="Arial Narrow"/>
          <w:color w:val="000000"/>
          <w:sz w:val="22"/>
          <w:szCs w:val="22"/>
          <w:lang w:val="fr-FR" w:eastAsia="zh-CN"/>
        </w:rPr>
        <w:t xml:space="preserve"> </w:t>
      </w:r>
    </w:p>
    <w:sectPr w:rsidR="00EA5939" w:rsidRPr="00EA5939" w:rsidSect="00EA5939">
      <w:headerReference w:type="default" r:id="rId10"/>
      <w:footerReference w:type="default" r:id="rId11"/>
      <w:pgSz w:w="11906" w:h="16838"/>
      <w:pgMar w:top="2058" w:right="1134" w:bottom="818" w:left="1134" w:header="31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83A" w:rsidRDefault="009B183A">
      <w:r>
        <w:separator/>
      </w:r>
    </w:p>
  </w:endnote>
  <w:endnote w:type="continuationSeparator" w:id="0">
    <w:p w:rsidR="009B183A" w:rsidRDefault="009B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D28" w:rsidRDefault="002C6981">
    <w:pPr>
      <w:pStyle w:val="En-tte"/>
      <w:tabs>
        <w:tab w:val="clear" w:pos="9020"/>
        <w:tab w:val="center" w:pos="4819"/>
        <w:tab w:val="right" w:pos="9638"/>
      </w:tabs>
    </w:pPr>
    <w:r>
      <w:rPr>
        <w:rFonts w:ascii="Arial Narrow" w:hAnsi="Arial Narrow"/>
        <w:i/>
        <w:iCs/>
      </w:rPr>
      <w:tab/>
    </w:r>
    <w:r>
      <w:rPr>
        <w:rFonts w:ascii="Arial Narrow" w:hAnsi="Arial Narrow"/>
        <w:i/>
        <w:iCs/>
      </w:rPr>
      <w:tab/>
      <w:t xml:space="preserve">page  </w:t>
    </w:r>
    <w:r>
      <w:rPr>
        <w:rFonts w:ascii="Arial Narrow" w:eastAsia="Arial Narrow" w:hAnsi="Arial Narrow" w:cs="Arial Narrow"/>
        <w:i/>
        <w:iCs/>
      </w:rPr>
      <w:fldChar w:fldCharType="begin"/>
    </w:r>
    <w:r>
      <w:rPr>
        <w:rFonts w:ascii="Arial Narrow" w:eastAsia="Arial Narrow" w:hAnsi="Arial Narrow" w:cs="Arial Narrow"/>
        <w:i/>
        <w:iCs/>
      </w:rPr>
      <w:instrText xml:space="preserve"> PAGE </w:instrText>
    </w:r>
    <w:r>
      <w:rPr>
        <w:rFonts w:ascii="Arial Narrow" w:eastAsia="Arial Narrow" w:hAnsi="Arial Narrow" w:cs="Arial Narrow"/>
        <w:i/>
        <w:iCs/>
      </w:rPr>
      <w:fldChar w:fldCharType="separate"/>
    </w:r>
    <w:r>
      <w:rPr>
        <w:rFonts w:ascii="Arial Narrow" w:eastAsia="Arial Narrow" w:hAnsi="Arial Narrow" w:cs="Arial Narrow"/>
        <w:i/>
        <w:iCs/>
      </w:rPr>
      <w:t>1</w:t>
    </w:r>
    <w:r>
      <w:rPr>
        <w:rFonts w:ascii="Arial Narrow" w:eastAsia="Arial Narrow" w:hAnsi="Arial Narrow" w:cs="Arial Narrow"/>
        <w:i/>
        <w:iCs/>
      </w:rPr>
      <w:fldChar w:fldCharType="end"/>
    </w:r>
    <w:r>
      <w:rPr>
        <w:rFonts w:ascii="Arial Narrow" w:hAnsi="Arial Narrow"/>
        <w:i/>
        <w:iCs/>
      </w:rPr>
      <w:t xml:space="preserve"> / </w:t>
    </w:r>
    <w:r>
      <w:rPr>
        <w:rFonts w:ascii="Arial Narrow" w:eastAsia="Arial Narrow" w:hAnsi="Arial Narrow" w:cs="Arial Narrow"/>
        <w:i/>
        <w:iCs/>
      </w:rPr>
      <w:fldChar w:fldCharType="begin"/>
    </w:r>
    <w:r>
      <w:rPr>
        <w:rFonts w:ascii="Arial Narrow" w:eastAsia="Arial Narrow" w:hAnsi="Arial Narrow" w:cs="Arial Narrow"/>
        <w:i/>
        <w:iCs/>
      </w:rPr>
      <w:instrText xml:space="preserve"> NUMPAGES </w:instrText>
    </w:r>
    <w:r>
      <w:rPr>
        <w:rFonts w:ascii="Arial Narrow" w:eastAsia="Arial Narrow" w:hAnsi="Arial Narrow" w:cs="Arial Narrow"/>
        <w:i/>
        <w:iCs/>
      </w:rPr>
      <w:fldChar w:fldCharType="separate"/>
    </w:r>
    <w:r>
      <w:rPr>
        <w:rFonts w:ascii="Arial Narrow" w:eastAsia="Arial Narrow" w:hAnsi="Arial Narrow" w:cs="Arial Narrow"/>
        <w:i/>
        <w:iCs/>
      </w:rPr>
      <w:t>1</w:t>
    </w:r>
    <w:r>
      <w:rPr>
        <w:rFonts w:ascii="Arial Narrow" w:eastAsia="Arial Narrow" w:hAnsi="Arial Narrow" w:cs="Arial Narrow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83A" w:rsidRDefault="009B183A">
      <w:r>
        <w:separator/>
      </w:r>
    </w:p>
  </w:footnote>
  <w:footnote w:type="continuationSeparator" w:id="0">
    <w:p w:rsidR="009B183A" w:rsidRDefault="009B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D28" w:rsidRDefault="002C6981">
    <w:pPr>
      <w:pStyle w:val="En-tt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1606703" cy="555268"/>
          <wp:effectExtent l="0" t="0" r="0" b="0"/>
          <wp:docPr id="1073741825" name="officeArt object" descr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3" descr="Imag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703" cy="5552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68397" cy="76839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397" cy="7683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kern w:val="1"/>
        <w:sz w:val="20"/>
        <w:szCs w:val="20"/>
        <w:em w:val="none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kern w:val="1"/>
        <w:sz w:val="20"/>
        <w:szCs w:val="20"/>
        <w:em w:val="none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kern w:val="1"/>
        <w:sz w:val="20"/>
        <w:szCs w:val="20"/>
        <w:em w:val="none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1902BE"/>
    <w:multiLevelType w:val="hybridMultilevel"/>
    <w:tmpl w:val="D43EE9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43C24"/>
    <w:multiLevelType w:val="hybridMultilevel"/>
    <w:tmpl w:val="D42C2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E42DD"/>
    <w:multiLevelType w:val="hybridMultilevel"/>
    <w:tmpl w:val="BACA82D4"/>
    <w:numStyleLink w:val="Puce"/>
  </w:abstractNum>
  <w:abstractNum w:abstractNumId="4" w15:restartNumberingAfterBreak="0">
    <w:nsid w:val="4DE9190B"/>
    <w:multiLevelType w:val="hybridMultilevel"/>
    <w:tmpl w:val="1FA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6AB"/>
    <w:multiLevelType w:val="hybridMultilevel"/>
    <w:tmpl w:val="22F67B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23C19"/>
    <w:multiLevelType w:val="hybridMultilevel"/>
    <w:tmpl w:val="BACA82D4"/>
    <w:styleLink w:val="Puce"/>
    <w:lvl w:ilvl="0" w:tplc="73D2B8B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80E4266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A64AECBA">
      <w:start w:val="1"/>
      <w:numFmt w:val="bullet"/>
      <w:lvlText w:val="▪"/>
      <w:lvlJc w:val="left"/>
      <w:pPr>
        <w:ind w:left="2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0D6A662">
      <w:start w:val="1"/>
      <w:numFmt w:val="bullet"/>
      <w:lvlText w:val="▪"/>
      <w:lvlJc w:val="left"/>
      <w:pPr>
        <w:ind w:left="2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2BA974E">
      <w:start w:val="1"/>
      <w:numFmt w:val="bullet"/>
      <w:lvlText w:val="▪"/>
      <w:lvlJc w:val="left"/>
      <w:pPr>
        <w:ind w:left="3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286F274">
      <w:start w:val="1"/>
      <w:numFmt w:val="bullet"/>
      <w:lvlText w:val="▪"/>
      <w:lvlJc w:val="left"/>
      <w:pPr>
        <w:ind w:left="4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E5B848EE">
      <w:start w:val="1"/>
      <w:numFmt w:val="bullet"/>
      <w:lvlText w:val="▪"/>
      <w:lvlJc w:val="left"/>
      <w:pPr>
        <w:ind w:left="5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ACA7550">
      <w:start w:val="1"/>
      <w:numFmt w:val="bullet"/>
      <w:lvlText w:val="▪"/>
      <w:lvlJc w:val="left"/>
      <w:pPr>
        <w:ind w:left="5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902A5E8">
      <w:start w:val="1"/>
      <w:numFmt w:val="bullet"/>
      <w:lvlText w:val="▪"/>
      <w:lvlJc w:val="left"/>
      <w:pPr>
        <w:ind w:left="6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EA66EA54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D9254B8">
        <w:start w:val="1"/>
        <w:numFmt w:val="bullet"/>
        <w:lvlText w:val="◦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844414A">
        <w:start w:val="1"/>
        <w:numFmt w:val="bullet"/>
        <w:lvlText w:val="◦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7E0514C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EACA748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86B5BA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CC6C82E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5A814C8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52CE5F6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  <w:lvlOverride w:ilvl="0">
      <w:lvl w:ilvl="0" w:tplc="EA66EA54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D9254B8">
        <w:start w:val="1"/>
        <w:numFmt w:val="bullet"/>
        <w:lvlText w:val="◦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844414A">
        <w:start w:val="1"/>
        <w:numFmt w:val="bullet"/>
        <w:lvlText w:val="▪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7E0514C">
        <w:start w:val="1"/>
        <w:numFmt w:val="bullet"/>
        <w:lvlText w:val="▪"/>
        <w:lvlJc w:val="left"/>
        <w:pPr>
          <w:ind w:left="28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EACA748">
        <w:start w:val="1"/>
        <w:numFmt w:val="bullet"/>
        <w:lvlText w:val="▪"/>
        <w:lvlJc w:val="left"/>
        <w:pPr>
          <w:ind w:left="3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86B5BA">
        <w:start w:val="1"/>
        <w:numFmt w:val="bullet"/>
        <w:lvlText w:val="▪"/>
        <w:lvlJc w:val="left"/>
        <w:pPr>
          <w:ind w:left="4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CC6C82E">
        <w:start w:val="1"/>
        <w:numFmt w:val="bullet"/>
        <w:lvlText w:val="▪"/>
        <w:lvlJc w:val="left"/>
        <w:pPr>
          <w:ind w:left="5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5A814C8">
        <w:start w:val="1"/>
        <w:numFmt w:val="bullet"/>
        <w:lvlText w:val="▪"/>
        <w:lvlJc w:val="left"/>
        <w:pPr>
          <w:ind w:left="57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52CE5F6">
        <w:start w:val="1"/>
        <w:numFmt w:val="bullet"/>
        <w:lvlText w:val="▪"/>
        <w:lvlJc w:val="left"/>
        <w:pPr>
          <w:ind w:left="6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3"/>
    <w:lvlOverride w:ilvl="0">
      <w:lvl w:ilvl="0" w:tplc="EA66EA54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D9254B8">
        <w:start w:val="1"/>
        <w:numFmt w:val="bullet"/>
        <w:lvlText w:val="◦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844414A">
        <w:start w:val="1"/>
        <w:numFmt w:val="bullet"/>
        <w:lvlText w:val="◦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7E0514C">
        <w:start w:val="1"/>
        <w:numFmt w:val="bullet"/>
        <w:lvlText w:val="◦"/>
        <w:lvlJc w:val="left"/>
        <w:pPr>
          <w:ind w:left="28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EACA748">
        <w:start w:val="1"/>
        <w:numFmt w:val="bullet"/>
        <w:lvlText w:val="◦"/>
        <w:lvlJc w:val="left"/>
        <w:pPr>
          <w:ind w:left="3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86B5BA">
        <w:start w:val="1"/>
        <w:numFmt w:val="bullet"/>
        <w:lvlText w:val="◦"/>
        <w:lvlJc w:val="left"/>
        <w:pPr>
          <w:ind w:left="4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CC6C82E">
        <w:start w:val="1"/>
        <w:numFmt w:val="bullet"/>
        <w:lvlText w:val="◦"/>
        <w:lvlJc w:val="left"/>
        <w:pPr>
          <w:ind w:left="5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5A814C8">
        <w:start w:val="1"/>
        <w:numFmt w:val="bullet"/>
        <w:lvlText w:val="◦"/>
        <w:lvlJc w:val="left"/>
        <w:pPr>
          <w:ind w:left="57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52CE5F6">
        <w:start w:val="1"/>
        <w:numFmt w:val="bullet"/>
        <w:lvlText w:val="◦"/>
        <w:lvlJc w:val="left"/>
        <w:pPr>
          <w:ind w:left="6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3"/>
    <w:lvlOverride w:ilvl="0">
      <w:lvl w:ilvl="0" w:tplc="EA66EA54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D9254B8">
        <w:start w:val="1"/>
        <w:numFmt w:val="bullet"/>
        <w:lvlText w:val="◦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844414A">
        <w:start w:val="1"/>
        <w:numFmt w:val="bullet"/>
        <w:lvlText w:val="◦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7E0514C">
        <w:start w:val="1"/>
        <w:numFmt w:val="bullet"/>
        <w:lvlText w:val="◦"/>
        <w:lvlJc w:val="left"/>
        <w:pPr>
          <w:ind w:left="28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EACA748">
        <w:start w:val="1"/>
        <w:numFmt w:val="bullet"/>
        <w:lvlText w:val="◦"/>
        <w:lvlJc w:val="left"/>
        <w:pPr>
          <w:ind w:left="3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86B5BA">
        <w:start w:val="1"/>
        <w:numFmt w:val="bullet"/>
        <w:lvlText w:val="◦"/>
        <w:lvlJc w:val="left"/>
        <w:pPr>
          <w:ind w:left="4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CC6C82E">
        <w:start w:val="1"/>
        <w:numFmt w:val="bullet"/>
        <w:lvlText w:val="◦"/>
        <w:lvlJc w:val="left"/>
        <w:pPr>
          <w:ind w:left="5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5A814C8">
        <w:start w:val="1"/>
        <w:numFmt w:val="bullet"/>
        <w:lvlText w:val="◦"/>
        <w:lvlJc w:val="left"/>
        <w:pPr>
          <w:ind w:left="57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52CE5F6">
        <w:start w:val="1"/>
        <w:numFmt w:val="bullet"/>
        <w:lvlText w:val="◦"/>
        <w:lvlJc w:val="left"/>
        <w:pPr>
          <w:ind w:left="6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28"/>
    <w:rsid w:val="000013CA"/>
    <w:rsid w:val="00012D7D"/>
    <w:rsid w:val="000E42C2"/>
    <w:rsid w:val="00183D11"/>
    <w:rsid w:val="001C00AE"/>
    <w:rsid w:val="002279DE"/>
    <w:rsid w:val="00245485"/>
    <w:rsid w:val="002C6981"/>
    <w:rsid w:val="00376745"/>
    <w:rsid w:val="003E0ED2"/>
    <w:rsid w:val="00563D28"/>
    <w:rsid w:val="006B1357"/>
    <w:rsid w:val="007A572B"/>
    <w:rsid w:val="00834645"/>
    <w:rsid w:val="0085741A"/>
    <w:rsid w:val="008E50ED"/>
    <w:rsid w:val="008F71C6"/>
    <w:rsid w:val="009257A7"/>
    <w:rsid w:val="009B183A"/>
    <w:rsid w:val="00A129F8"/>
    <w:rsid w:val="00A372B5"/>
    <w:rsid w:val="00A45FFA"/>
    <w:rsid w:val="00A67CFD"/>
    <w:rsid w:val="00B46C54"/>
    <w:rsid w:val="00D74F38"/>
    <w:rsid w:val="00E94A7D"/>
    <w:rsid w:val="00EA520C"/>
    <w:rsid w:val="00EA5939"/>
    <w:rsid w:val="00EC1125"/>
    <w:rsid w:val="00EF4A55"/>
    <w:rsid w:val="00F71816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6931"/>
  <w15:docId w15:val="{A6FB394E-13BE-5A44-AAB4-5A21BCA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qFormat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0E42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2C2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67CFD"/>
    <w:rPr>
      <w:color w:val="605E5C"/>
      <w:shd w:val="clear" w:color="auto" w:fill="E1DFDD"/>
    </w:rPr>
  </w:style>
  <w:style w:type="character" w:styleId="Accentuation">
    <w:name w:val="Emphasis"/>
    <w:qFormat/>
    <w:rsid w:val="000013CA"/>
    <w:rPr>
      <w:i/>
      <w:iCs/>
    </w:rPr>
  </w:style>
  <w:style w:type="paragraph" w:customStyle="1" w:styleId="WW-Standard">
    <w:name w:val="WW-Standard"/>
    <w:rsid w:val="000013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kern w:val="1"/>
      <w:sz w:val="24"/>
      <w:bdr w:val="none" w:sz="0" w:space="0" w:color="auto"/>
      <w:lang w:bidi="hi-IN"/>
    </w:rPr>
  </w:style>
  <w:style w:type="paragraph" w:customStyle="1" w:styleId="Formatlibre">
    <w:name w:val="Format libre"/>
    <w:rsid w:val="00001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kern w:val="1"/>
      <w:bdr w:val="none" w:sz="0" w:space="0" w:color="auto"/>
      <w:lang w:val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ues.mshparisnord.org/filigrane/index.php?id=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ffon@prism.cn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oud.prism.cnrs.fr/index.php/s/SaHH2XnBfRFY7k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TIFFON Vincent</cp:lastModifiedBy>
  <cp:revision>5</cp:revision>
  <cp:lastPrinted>2020-09-12T06:46:00Z</cp:lastPrinted>
  <dcterms:created xsi:type="dcterms:W3CDTF">2020-09-12T07:07:00Z</dcterms:created>
  <dcterms:modified xsi:type="dcterms:W3CDTF">2020-09-12T07:18:00Z</dcterms:modified>
</cp:coreProperties>
</file>