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79B2" w14:textId="77777777" w:rsidR="009702EA" w:rsidRDefault="009702EA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</w:p>
    <w:p w14:paraId="7F8D8A56" w14:textId="33F05F49" w:rsidR="009702EA" w:rsidRPr="00CF6F1F" w:rsidRDefault="00637B76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  <w:r>
        <w:rPr>
          <w:rFonts w:eastAsia="Times New Roman" w:cs="Times New Roman"/>
          <w:noProof/>
          <w:color w:val="0000FF"/>
          <w:lang w:val="it-IT" w:eastAsia="it-IT"/>
        </w:rPr>
        <w:drawing>
          <wp:inline distT="0" distB="0" distL="0" distR="0" wp14:anchorId="2784481E" wp14:editId="475E4FE9">
            <wp:extent cx="9324604" cy="1963279"/>
            <wp:effectExtent l="0" t="0" r="0" b="0"/>
            <wp:docPr id="78" name="Immagine 3" descr="http://f.hypotheses.org/wp-content/blogs.dir/1648/files/2013/11/cropped-Aristoteles-PierPoint-Morgan-Librar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hypotheses.org/wp-content/blogs.dir/1648/files/2013/11/cropped-Aristoteles-PierPoint-Morgan-Librar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660" cy="19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D23E" w14:textId="77777777" w:rsidR="009D09C8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7B4233F4" w14:textId="77777777" w:rsidR="009B701A" w:rsidRPr="009D09C8" w:rsidRDefault="009B701A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73CCEAFA" w14:textId="6843E977" w:rsidR="00BF4E5F" w:rsidRPr="00BF4E5F" w:rsidRDefault="00AB363D" w:rsidP="00BF4E5F">
      <w:pPr>
        <w:spacing w:line="240" w:lineRule="auto"/>
        <w:jc w:val="left"/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</w:pPr>
      <w:r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  <w:t>L’</w:t>
      </w:r>
      <w:r w:rsidR="00600FAF"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  <w:t>atelier du ‘médiévisme’</w:t>
      </w:r>
      <w:r w:rsidR="00BF4E5F" w:rsidRPr="00BF4E5F"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  <w:t xml:space="preserve"> philosophique :</w:t>
      </w:r>
    </w:p>
    <w:p w14:paraId="175F5E6D" w14:textId="77777777" w:rsidR="00BF4E5F" w:rsidRPr="00BF4E5F" w:rsidRDefault="00BF4E5F" w:rsidP="00BF4E5F">
      <w:pPr>
        <w:spacing w:line="240" w:lineRule="auto"/>
        <w:jc w:val="left"/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</w:pPr>
      <w:r w:rsidRPr="00BF4E5F">
        <w:rPr>
          <w:rFonts w:ascii="Cambria" w:eastAsia="Times New Roman" w:hAnsi="Cambria" w:cs="Times New Roman"/>
          <w:b/>
          <w:i/>
          <w:iCs/>
          <w:color w:val="365F91"/>
          <w:sz w:val="52"/>
          <w:szCs w:val="52"/>
          <w:lang w:eastAsia="it-IT"/>
        </w:rPr>
        <w:t>philologie et stratégies interprétatives</w:t>
      </w:r>
    </w:p>
    <w:p w14:paraId="64216996" w14:textId="77777777" w:rsidR="00BF4E5F" w:rsidRDefault="00BF4E5F" w:rsidP="00BF4E5F">
      <w:pPr>
        <w:spacing w:line="240" w:lineRule="auto"/>
        <w:jc w:val="left"/>
        <w:rPr>
          <w:rFonts w:ascii="Cambria" w:eastAsia="Times New Roman" w:hAnsi="Cambria" w:cs="Times New Roman"/>
          <w:b/>
          <w:i/>
          <w:iCs/>
          <w:color w:val="365F91"/>
          <w:sz w:val="32"/>
          <w:szCs w:val="32"/>
          <w:lang w:eastAsia="it-IT"/>
        </w:rPr>
      </w:pPr>
    </w:p>
    <w:p w14:paraId="70DC9307" w14:textId="28467230" w:rsidR="00BF4E5F" w:rsidRPr="00BF4E5F" w:rsidRDefault="00BF4E5F" w:rsidP="00BF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289"/>
        <w:jc w:val="left"/>
        <w:rPr>
          <w:rFonts w:ascii="Cambria" w:eastAsia="ＭＳ 明朝" w:hAnsi="Cambria" w:cs="Courier"/>
          <w:b/>
          <w:color w:val="365F91"/>
          <w:sz w:val="32"/>
          <w:szCs w:val="32"/>
          <w:lang w:eastAsia="it-IT"/>
        </w:rPr>
      </w:pPr>
      <w:r w:rsidRPr="00BF4E5F">
        <w:rPr>
          <w:rFonts w:ascii="Cambria" w:eastAsia="ＭＳ 明朝" w:hAnsi="Cambria" w:cs="Courier"/>
          <w:b/>
          <w:color w:val="365F91"/>
          <w:sz w:val="32"/>
          <w:szCs w:val="32"/>
          <w:lang w:eastAsia="it-IT"/>
        </w:rPr>
        <w:t>Séminaire du Centre Pierre Abélard 2014-15</w:t>
      </w:r>
    </w:p>
    <w:p w14:paraId="40B63AC3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4"/>
          <w:lang w:eastAsia="it-IT"/>
        </w:rPr>
      </w:pPr>
    </w:p>
    <w:p w14:paraId="29F92967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b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 xml:space="preserve">jeudi 12 février 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• 17h00-19h00 • Sorbonne • Salle D 690</w:t>
      </w:r>
    </w:p>
    <w:p w14:paraId="56B610BC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 xml:space="preserve">Christopher D. </w:t>
      </w:r>
      <w:proofErr w:type="spellStart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Schabel</w:t>
      </w:r>
      <w:proofErr w:type="spellEnd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 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(Université de Chypre)</w:t>
      </w:r>
    </w:p>
    <w:p w14:paraId="21ACDE9B" w14:textId="77777777" w:rsidR="00BF4E5F" w:rsidRPr="00BF4E5F" w:rsidRDefault="00BF4E5F" w:rsidP="00BF4E5F">
      <w:pPr>
        <w:spacing w:line="240" w:lineRule="auto"/>
        <w:jc w:val="left"/>
        <w:rPr>
          <w:rFonts w:ascii="Cambria" w:eastAsia="Times New Roman" w:hAnsi="Cambria" w:cs="Times New Roman"/>
          <w:sz w:val="28"/>
          <w:szCs w:val="28"/>
          <w:lang w:eastAsia="it-IT"/>
        </w:rPr>
      </w:pP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Philosophical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Theology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 xml:space="preserve"> in the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Fourteenth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 xml:space="preserve"> Century: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Historical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 xml:space="preserve"> Trends and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Historiographical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Opportunities</w:t>
      </w:r>
      <w:proofErr w:type="spellEnd"/>
    </w:p>
    <w:p w14:paraId="7FE49FC5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</w:p>
    <w:p w14:paraId="00D24301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b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 xml:space="preserve">jeudi 12 mars • 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17h00-19h00 • Sorbonne • Salle D 690</w:t>
      </w:r>
    </w:p>
    <w:p w14:paraId="1D612959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Camille de Belloy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(Directeur de la 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RSPT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)</w:t>
      </w:r>
    </w:p>
    <w:p w14:paraId="44A80AC3" w14:textId="77777777" w:rsid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bookmarkStart w:id="0" w:name="_GoBack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Dieu comme soi-même. Connaissance de soi et connaissance de Dieu selon Thomas d</w:t>
      </w:r>
      <w:r>
        <w:rPr>
          <w:rFonts w:ascii="Cambria" w:eastAsia="ＭＳ 明朝" w:hAnsi="Cambria" w:cs="Times New Roman"/>
          <w:i/>
          <w:sz w:val="28"/>
          <w:szCs w:val="28"/>
          <w:lang w:eastAsia="it-IT"/>
        </w:rPr>
        <w:t>’Aquin :</w:t>
      </w:r>
    </w:p>
    <w:p w14:paraId="337C06B6" w14:textId="7DB1A4DE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l’herméneutique d’Ambroise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Gardeil</w:t>
      </w:r>
      <w:proofErr w:type="spellEnd"/>
    </w:p>
    <w:bookmarkEnd w:id="0"/>
    <w:p w14:paraId="381A4F1E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Discutant : </w:t>
      </w: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 xml:space="preserve">Paul </w:t>
      </w:r>
      <w:proofErr w:type="spellStart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Slama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(Université Paris-Sorbonne)</w:t>
      </w:r>
    </w:p>
    <w:p w14:paraId="645A0FAB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</w:p>
    <w:p w14:paraId="6E180C81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b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>mardi 31 mars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</w:t>
      </w: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 xml:space="preserve">• 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18h30-20h30 • Sorbonne • Amphi Chasles</w:t>
      </w:r>
    </w:p>
    <w:p w14:paraId="2BA49498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William J. Courtenay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University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of Wisconsin-Madison)</w:t>
      </w:r>
    </w:p>
    <w:p w14:paraId="63E55C11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Changes in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Theology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at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 Paris in the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Fourteenth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 Century</w:t>
      </w:r>
    </w:p>
    <w:p w14:paraId="7109D1A3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</w:p>
    <w:p w14:paraId="20BC55C6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b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>mardi 7 avril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• 18h30-20h30 • Sorbonne • Salle Le Verrier</w:t>
      </w:r>
    </w:p>
    <w:p w14:paraId="743354A2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Adriano Oliva 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(CNRS / Président de la Commission Léonine) </w:t>
      </w:r>
    </w:p>
    <w:p w14:paraId="7042C488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Reproduction et diffusion de textes latins au moyen âge et critères de leur édition</w:t>
      </w:r>
    </w:p>
    <w:p w14:paraId="4C7A9502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</w:p>
    <w:p w14:paraId="15B35475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b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 xml:space="preserve">mardi 14 avril 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• 18h30-20h30 • Sorbonne • Amphi Chasles</w:t>
      </w:r>
    </w:p>
    <w:p w14:paraId="1BBBC11B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proofErr w:type="spellStart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Dragos</w:t>
      </w:r>
      <w:proofErr w:type="spellEnd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 xml:space="preserve"> Calma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</w:t>
      </w:r>
      <w:proofErr w:type="spellStart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Responsable</w:t>
      </w:r>
      <w:proofErr w:type="spellEnd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scientiﬁque</w:t>
      </w:r>
      <w:proofErr w:type="spellEnd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du</w:t>
      </w:r>
      <w:proofErr w:type="spellEnd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projet</w:t>
      </w:r>
      <w:proofErr w:type="spellEnd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ANR</w:t>
      </w:r>
      <w:proofErr w:type="spellEnd"/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 xml:space="preserve"> </w:t>
      </w:r>
      <w:r w:rsidRPr="00BF4E5F">
        <w:rPr>
          <w:rFonts w:ascii="Cambria" w:eastAsia="Times New Roman" w:hAnsi="Cambria" w:cs="Times New Roman"/>
          <w:color w:val="231F20"/>
          <w:spacing w:val="15"/>
          <w:sz w:val="28"/>
          <w:szCs w:val="28"/>
          <w:lang w:val="it-IT" w:eastAsia="it-IT"/>
        </w:rPr>
        <w:t xml:space="preserve">« LIBER », </w:t>
      </w:r>
      <w:proofErr w:type="spellStart"/>
      <w:r w:rsidRPr="00BF4E5F">
        <w:rPr>
          <w:rFonts w:ascii="Cambria" w:eastAsia="Times New Roman" w:hAnsi="Cambria" w:cs="Times New Roman"/>
          <w:color w:val="231F20"/>
          <w:spacing w:val="15"/>
          <w:sz w:val="28"/>
          <w:szCs w:val="28"/>
          <w:lang w:val="it-IT" w:eastAsia="it-IT"/>
        </w:rPr>
        <w:t>EPHE</w:t>
      </w:r>
      <w:proofErr w:type="spellEnd"/>
      <w:r w:rsidRPr="00BF4E5F">
        <w:rPr>
          <w:rFonts w:ascii="Cambria" w:eastAsia="Times New Roman" w:hAnsi="Cambria" w:cs="Times New Roman"/>
          <w:color w:val="231F20"/>
          <w:spacing w:val="15"/>
          <w:sz w:val="28"/>
          <w:szCs w:val="28"/>
          <w:lang w:val="it-IT" w:eastAsia="it-IT"/>
        </w:rPr>
        <w:t>-CNRS (LEM</w:t>
      </w:r>
      <w:r w:rsidRPr="00BF4E5F">
        <w:rPr>
          <w:rFonts w:ascii="Cambria" w:eastAsia="Times New Roman" w:hAnsi="Cambria" w:cs="Times New Roman"/>
          <w:color w:val="231F20"/>
          <w:sz w:val="28"/>
          <w:szCs w:val="28"/>
          <w:lang w:val="it-IT" w:eastAsia="it-IT"/>
        </w:rPr>
        <w:t>)</w:t>
      </w:r>
    </w:p>
    <w:p w14:paraId="0CEBEFEB" w14:textId="77777777" w:rsidR="00BF4E5F" w:rsidRPr="00BF4E5F" w:rsidRDefault="00BF4E5F" w:rsidP="00BF4E5F">
      <w:pPr>
        <w:spacing w:line="240" w:lineRule="auto"/>
        <w:jc w:val="left"/>
        <w:rPr>
          <w:rFonts w:ascii="Cambria" w:eastAsia="Times New Roman" w:hAnsi="Cambria" w:cs="Times New Roman"/>
          <w:sz w:val="28"/>
          <w:szCs w:val="28"/>
          <w:lang w:eastAsia="it-IT"/>
        </w:rPr>
      </w:pPr>
      <w:r w:rsidRPr="00BF4E5F">
        <w:rPr>
          <w:rFonts w:ascii="Cambria" w:eastAsia="Times New Roman" w:hAnsi="Cambria" w:cs="Times New Roman"/>
          <w:i/>
          <w:sz w:val="28"/>
          <w:szCs w:val="28"/>
          <w:lang w:eastAsia="it-IT"/>
        </w:rPr>
        <w:t>Les médiévaux étaient des philologues: notes sur les manuscrits du</w:t>
      </w:r>
      <w:r w:rsidRPr="00BF4E5F">
        <w:rPr>
          <w:rFonts w:ascii="Cambria" w:eastAsia="Times New Roman" w:hAnsi="Cambria" w:cs="Times New Roman"/>
          <w:sz w:val="28"/>
          <w:szCs w:val="28"/>
          <w:lang w:eastAsia="it-IT"/>
        </w:rPr>
        <w:t xml:space="preserve"> Liber de </w:t>
      </w:r>
      <w:proofErr w:type="spellStart"/>
      <w:r w:rsidRPr="00BF4E5F">
        <w:rPr>
          <w:rFonts w:ascii="Cambria" w:eastAsia="Times New Roman" w:hAnsi="Cambria" w:cs="Times New Roman"/>
          <w:sz w:val="28"/>
          <w:szCs w:val="28"/>
          <w:lang w:eastAsia="it-IT"/>
        </w:rPr>
        <w:t>causis</w:t>
      </w:r>
      <w:proofErr w:type="spellEnd"/>
    </w:p>
    <w:p w14:paraId="525FCC4F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</w:p>
    <w:p w14:paraId="402DC68B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 xml:space="preserve">mardi 5 mai 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• 18h30-20h30 • Sorbonne • Amphi Chasles</w:t>
      </w:r>
    </w:p>
    <w:p w14:paraId="3726A627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Kent Emery, Jr. 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(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University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of Notre Dame, IN)</w:t>
      </w:r>
    </w:p>
    <w:p w14:paraId="60C0EFF8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val="en-US" w:eastAsia="it-IT"/>
        </w:rPr>
      </w:pPr>
      <w:r w:rsidRPr="00BF4E5F">
        <w:rPr>
          <w:rFonts w:ascii="Cambria" w:eastAsia="ＭＳ 明朝" w:hAnsi="Cambria" w:cs="Times New Roman"/>
          <w:sz w:val="28"/>
          <w:szCs w:val="28"/>
          <w:lang w:val="en-US" w:eastAsia="it-IT"/>
        </w:rPr>
        <w:t>The Medieval Edition of the Parisian</w:t>
      </w:r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Lectura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 super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primum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librum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Sententiarum</w:t>
      </w:r>
      <w:proofErr w:type="spellEnd"/>
    </w:p>
    <w:p w14:paraId="64C2FA12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val="en-US" w:eastAsia="it-IT"/>
        </w:rPr>
      </w:pPr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(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Reportationes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>Parisienses</w:t>
      </w:r>
      <w:proofErr w:type="spellEnd"/>
      <w:r w:rsidRPr="00BF4E5F">
        <w:rPr>
          <w:rFonts w:ascii="Cambria" w:eastAsia="ＭＳ 明朝" w:hAnsi="Cambria" w:cs="Times New Roman"/>
          <w:i/>
          <w:sz w:val="28"/>
          <w:szCs w:val="28"/>
          <w:lang w:val="en-US" w:eastAsia="it-IT"/>
        </w:rPr>
        <w:t xml:space="preserve">) </w:t>
      </w:r>
      <w:r w:rsidRPr="00BF4E5F">
        <w:rPr>
          <w:rFonts w:ascii="Cambria" w:eastAsia="ＭＳ 明朝" w:hAnsi="Cambria" w:cs="Times New Roman"/>
          <w:sz w:val="28"/>
          <w:szCs w:val="28"/>
          <w:lang w:val="en-US" w:eastAsia="it-IT"/>
        </w:rPr>
        <w:t xml:space="preserve">of John Duns 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val="en-US" w:eastAsia="it-IT"/>
        </w:rPr>
        <w:t>Scotus</w:t>
      </w:r>
      <w:proofErr w:type="spellEnd"/>
    </w:p>
    <w:p w14:paraId="270083D8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</w:p>
    <w:p w14:paraId="59CEC03F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>jeudi 7 mai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• 18h00-20h00 • Sorbonne • Salle D 690</w:t>
      </w:r>
    </w:p>
    <w:p w14:paraId="6BB2155D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 xml:space="preserve">Jacob </w:t>
      </w:r>
      <w:proofErr w:type="spellStart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Schmutz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(Université Paris-Sorbonne)</w:t>
      </w:r>
    </w:p>
    <w:p w14:paraId="29EA80E1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>Pourquoi lire des manuscrits académiques du XVII</w:t>
      </w:r>
      <w:r w:rsidRPr="00BF4E5F">
        <w:rPr>
          <w:rFonts w:ascii="Cambria" w:eastAsia="ＭＳ 明朝" w:hAnsi="Cambria" w:cs="Times New Roman"/>
          <w:i/>
          <w:sz w:val="28"/>
          <w:szCs w:val="28"/>
          <w:vertAlign w:val="superscript"/>
          <w:lang w:eastAsia="it-IT"/>
        </w:rPr>
        <w:t>e</w:t>
      </w:r>
      <w:r w:rsidRPr="00BF4E5F">
        <w:rPr>
          <w:rFonts w:ascii="Cambria" w:eastAsia="ＭＳ 明朝" w:hAnsi="Cambria" w:cs="Times New Roman"/>
          <w:i/>
          <w:sz w:val="28"/>
          <w:szCs w:val="28"/>
          <w:lang w:eastAsia="it-IT"/>
        </w:rPr>
        <w:t xml:space="preserve"> siècle</w:t>
      </w:r>
    </w:p>
    <w:p w14:paraId="245F0764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</w:p>
    <w:p w14:paraId="6CAB3E06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>jeudi 4 juin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• 18h00-20h00 • Sorbonne • Salle F 040</w:t>
      </w:r>
    </w:p>
    <w:p w14:paraId="00775CF3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 xml:space="preserve">Véronique </w:t>
      </w:r>
      <w:proofErr w:type="spellStart"/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Decaix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(Göteborg)</w:t>
      </w:r>
    </w:p>
    <w:p w14:paraId="7E3597FC" w14:textId="77777777" w:rsidR="00BF4E5F" w:rsidRPr="00BF4E5F" w:rsidRDefault="00BF4E5F" w:rsidP="00BF4E5F">
      <w:pPr>
        <w:spacing w:line="240" w:lineRule="auto"/>
        <w:jc w:val="left"/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</w:pP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Sujet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et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scientificité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des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r w:rsidRPr="00BF4E5F">
        <w:rPr>
          <w:rFonts w:ascii="Cambria" w:eastAsia="Times New Roman" w:hAnsi="Cambria" w:cs="Times New Roman"/>
          <w:iCs/>
          <w:sz w:val="28"/>
          <w:szCs w:val="28"/>
          <w:lang w:val="it-IT" w:eastAsia="it-IT"/>
        </w:rPr>
        <w:t xml:space="preserve">Parva </w:t>
      </w:r>
      <w:proofErr w:type="spellStart"/>
      <w:r w:rsidRPr="00BF4E5F">
        <w:rPr>
          <w:rFonts w:ascii="Cambria" w:eastAsia="Times New Roman" w:hAnsi="Cambria" w:cs="Times New Roman"/>
          <w:iCs/>
          <w:sz w:val="28"/>
          <w:szCs w:val="28"/>
          <w:lang w:val="it-IT" w:eastAsia="it-IT"/>
        </w:rPr>
        <w:t>naturalia</w:t>
      </w:r>
      <w:proofErr w:type="spellEnd"/>
      <w:r w:rsidRPr="00BF4E5F">
        <w:rPr>
          <w:rFonts w:ascii="Cambria" w:eastAsia="Times New Roman" w:hAnsi="Cambria" w:cs="Times New Roman"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aux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XIII</w:t>
      </w:r>
      <w:r w:rsidRPr="00BF4E5F">
        <w:rPr>
          <w:rFonts w:ascii="Cambria" w:eastAsia="Times New Roman" w:hAnsi="Cambria" w:cs="Times New Roman"/>
          <w:i/>
          <w:sz w:val="28"/>
          <w:szCs w:val="28"/>
          <w:vertAlign w:val="superscript"/>
          <w:lang w:val="it-IT" w:eastAsia="it-IT"/>
        </w:rPr>
        <w:t>e</w:t>
      </w:r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-XIV</w:t>
      </w:r>
      <w:r w:rsidRPr="00BF4E5F">
        <w:rPr>
          <w:rFonts w:ascii="Cambria" w:eastAsia="Times New Roman" w:hAnsi="Cambria" w:cs="Times New Roman"/>
          <w:i/>
          <w:sz w:val="28"/>
          <w:szCs w:val="28"/>
          <w:vertAlign w:val="superscript"/>
          <w:lang w:val="it-IT" w:eastAsia="it-IT"/>
        </w:rPr>
        <w:t>e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siècles</w:t>
      </w:r>
      <w:proofErr w:type="spellEnd"/>
    </w:p>
    <w:p w14:paraId="6914AA36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</w:p>
    <w:p w14:paraId="58D2D52C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sz w:val="28"/>
          <w:szCs w:val="28"/>
          <w:lang w:eastAsia="it-IT"/>
        </w:rPr>
        <w:t>lundi 8 juin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• 17h00-19h00 • Sorbonne • Salle F 040</w:t>
      </w:r>
    </w:p>
    <w:p w14:paraId="2B48E6FB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sz w:val="28"/>
          <w:szCs w:val="28"/>
          <w:lang w:eastAsia="it-IT"/>
        </w:rPr>
      </w:pPr>
      <w:r w:rsidRPr="00BF4E5F">
        <w:rPr>
          <w:rFonts w:ascii="Cambria" w:eastAsia="ＭＳ 明朝" w:hAnsi="Cambria" w:cs="Times New Roman"/>
          <w:b/>
          <w:color w:val="365F91"/>
          <w:sz w:val="28"/>
          <w:szCs w:val="28"/>
          <w:lang w:eastAsia="it-IT"/>
        </w:rPr>
        <w:t>Nicolas Faucher</w:t>
      </w:r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(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Università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degli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Studi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 xml:space="preserve"> di Bari Aldo Moro / </w:t>
      </w:r>
      <w:proofErr w:type="spellStart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EPHE</w:t>
      </w:r>
      <w:proofErr w:type="spellEnd"/>
      <w:r w:rsidRPr="00BF4E5F">
        <w:rPr>
          <w:rFonts w:ascii="Cambria" w:eastAsia="ＭＳ 明朝" w:hAnsi="Cambria" w:cs="Times New Roman"/>
          <w:sz w:val="28"/>
          <w:szCs w:val="28"/>
          <w:lang w:eastAsia="it-IT"/>
        </w:rPr>
        <w:t>, Paris)</w:t>
      </w:r>
    </w:p>
    <w:p w14:paraId="26D1F78A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8"/>
          <w:szCs w:val="28"/>
          <w:lang w:eastAsia="it-IT"/>
        </w:rPr>
      </w:pP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Théologie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et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assentiment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chez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Godefroid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de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Fontaines</w:t>
      </w:r>
      <w:proofErr w:type="spellEnd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 xml:space="preserve"> et Jean Duns </w:t>
      </w:r>
      <w:proofErr w:type="spellStart"/>
      <w:r w:rsidRPr="00BF4E5F">
        <w:rPr>
          <w:rFonts w:ascii="Cambria" w:eastAsia="Times New Roman" w:hAnsi="Cambria" w:cs="Times New Roman"/>
          <w:i/>
          <w:sz w:val="28"/>
          <w:szCs w:val="28"/>
          <w:lang w:val="it-IT" w:eastAsia="it-IT"/>
        </w:rPr>
        <w:t>Scot</w:t>
      </w:r>
      <w:proofErr w:type="spellEnd"/>
    </w:p>
    <w:p w14:paraId="60122021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4"/>
          <w:lang w:eastAsia="it-IT"/>
        </w:rPr>
      </w:pPr>
    </w:p>
    <w:p w14:paraId="32677844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4"/>
          <w:lang w:eastAsia="it-IT"/>
        </w:rPr>
      </w:pPr>
    </w:p>
    <w:p w14:paraId="467DA038" w14:textId="77777777" w:rsidR="00BF4E5F" w:rsidRPr="00BF4E5F" w:rsidRDefault="00BF4E5F" w:rsidP="00BF4E5F">
      <w:pPr>
        <w:spacing w:line="240" w:lineRule="auto"/>
        <w:jc w:val="left"/>
        <w:rPr>
          <w:rFonts w:ascii="Cambria" w:eastAsia="ＭＳ 明朝" w:hAnsi="Cambria" w:cs="Times New Roman"/>
          <w:i/>
          <w:sz w:val="24"/>
          <w:lang w:eastAsia="it-IT"/>
        </w:rPr>
      </w:pPr>
    </w:p>
    <w:p w14:paraId="5C78642D" w14:textId="28A91650" w:rsidR="00BF4E5F" w:rsidRPr="00BF4E5F" w:rsidRDefault="00BF4E5F" w:rsidP="00BF4E5F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ambria" w:eastAsia="ＭＳ 明朝" w:hAnsi="Cambria" w:cs="Courier"/>
          <w:sz w:val="24"/>
          <w:lang w:val="it-IT" w:eastAsia="it-IT"/>
        </w:rPr>
      </w:pPr>
      <w:proofErr w:type="spellStart"/>
      <w:r w:rsidRPr="00BF4E5F">
        <w:rPr>
          <w:rFonts w:ascii="Cambria" w:eastAsia="ＭＳ 明朝" w:hAnsi="Cambria" w:cs="Courier"/>
          <w:sz w:val="24"/>
          <w:lang w:val="it-IT" w:eastAsia="it-IT"/>
        </w:rPr>
        <w:t>Contact</w:t>
      </w:r>
      <w:r w:rsidR="0096389D">
        <w:rPr>
          <w:rFonts w:ascii="Cambria" w:eastAsia="ＭＳ 明朝" w:hAnsi="Cambria" w:cs="Courier"/>
          <w:sz w:val="24"/>
          <w:lang w:val="it-IT" w:eastAsia="it-IT"/>
        </w:rPr>
        <w:t>s</w:t>
      </w:r>
      <w:proofErr w:type="spellEnd"/>
      <w:r w:rsidRPr="00BF4E5F">
        <w:rPr>
          <w:rFonts w:ascii="Cambria" w:eastAsia="ＭＳ 明朝" w:hAnsi="Cambria" w:cs="Courier"/>
          <w:sz w:val="24"/>
          <w:lang w:val="it-IT" w:eastAsia="it-IT"/>
        </w:rPr>
        <w:t xml:space="preserve"> : </w:t>
      </w:r>
      <w:r w:rsidRPr="00BF4E5F">
        <w:rPr>
          <w:rFonts w:ascii="Cambria" w:eastAsia="ＭＳ 明朝" w:hAnsi="Cambria" w:cs="Courier"/>
          <w:color w:val="0000FF"/>
          <w:sz w:val="24"/>
          <w:u w:val="single"/>
          <w:lang w:val="it-IT" w:eastAsia="it-IT"/>
        </w:rPr>
        <w:t>pasquale.porro@paris-sorbonne.fr</w:t>
      </w:r>
    </w:p>
    <w:p w14:paraId="52FC765D" w14:textId="088898A4" w:rsidR="003F51EC" w:rsidRPr="00BF4E5F" w:rsidRDefault="00BF4E5F" w:rsidP="00BF4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ambria" w:eastAsia="ＭＳ 明朝" w:hAnsi="Cambria" w:cs="Courier"/>
          <w:sz w:val="24"/>
          <w:lang w:val="it-IT" w:eastAsia="it-IT"/>
        </w:rPr>
      </w:pPr>
      <w:r w:rsidRPr="00BF4E5F">
        <w:rPr>
          <w:rFonts w:ascii="Cambria" w:eastAsia="ＭＳ 明朝" w:hAnsi="Cambria" w:cs="Courier"/>
          <w:color w:val="0000FF"/>
          <w:sz w:val="24"/>
          <w:u w:val="single"/>
          <w:lang w:val="it-IT" w:eastAsia="it-IT"/>
        </w:rPr>
        <w:t>jacob.schmutz@paris-sorbonne.fr</w:t>
      </w:r>
    </w:p>
    <w:sectPr w:rsidR="003F51EC" w:rsidRPr="00BF4E5F" w:rsidSect="006A080F">
      <w:headerReference w:type="default" r:id="rId10"/>
      <w:footerReference w:type="default" r:id="rId11"/>
      <w:type w:val="continuous"/>
      <w:pgSz w:w="17000" w:h="240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847C" w14:textId="77777777" w:rsidR="00CC54D9" w:rsidRDefault="00CC54D9" w:rsidP="00025B9E">
      <w:pPr>
        <w:spacing w:line="240" w:lineRule="auto"/>
      </w:pPr>
      <w:r>
        <w:separator/>
      </w:r>
    </w:p>
  </w:endnote>
  <w:endnote w:type="continuationSeparator" w:id="0">
    <w:p w14:paraId="1E845284" w14:textId="77777777" w:rsidR="00CC54D9" w:rsidRDefault="00CC54D9" w:rsidP="0002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35AC" w14:textId="68687BCF" w:rsidR="00CC54D9" w:rsidRDefault="00CC54D9" w:rsidP="00D2313A">
    <w:pPr>
      <w:pStyle w:val="Pidipagin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5631" w14:textId="77777777" w:rsidR="00CC54D9" w:rsidRDefault="00CC54D9" w:rsidP="00025B9E">
      <w:pPr>
        <w:spacing w:line="240" w:lineRule="auto"/>
      </w:pPr>
      <w:r>
        <w:separator/>
      </w:r>
    </w:p>
  </w:footnote>
  <w:footnote w:type="continuationSeparator" w:id="0">
    <w:p w14:paraId="15451C4A" w14:textId="77777777" w:rsidR="00CC54D9" w:rsidRDefault="00CC54D9" w:rsidP="0002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40E2" w14:textId="4188ACF6" w:rsidR="00CC54D9" w:rsidRDefault="00CC54D9" w:rsidP="00637B76">
    <w:pPr>
      <w:pStyle w:val="Intestazione"/>
      <w:tabs>
        <w:tab w:val="clear" w:pos="4536"/>
        <w:tab w:val="clear" w:pos="9072"/>
      </w:tabs>
      <w:ind w:left="-284"/>
    </w:pPr>
    <w:r>
      <w:rPr>
        <w:rFonts w:eastAsia="Times New Roman" w:cs="Times New Roman"/>
        <w:noProof/>
        <w:color w:val="0000FF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FA72A" wp14:editId="7F65E3FC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4800600" cy="800100"/>
              <wp:effectExtent l="0" t="0" r="0" b="1270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B15BB" w14:textId="4CB5B7B0" w:rsidR="00CC54D9" w:rsidRPr="00F412BB" w:rsidRDefault="00CC54D9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Centre Pierre Abélard</w:t>
                          </w:r>
                        </w:p>
                        <w:p w14:paraId="0A006880" w14:textId="339B85B4" w:rsidR="00CC54D9" w:rsidRDefault="00F412BB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Université Paris-</w:t>
                          </w:r>
                          <w:r w:rsidR="00CC54D9"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Sorbonne</w:t>
                          </w:r>
                        </w:p>
                        <w:p w14:paraId="0397B31E" w14:textId="1ABCD91B" w:rsidR="003F51EC" w:rsidRDefault="003F51EC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EA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 xml:space="preserve"> 3552 « Métaphysique : histoires, transformations, actualité »</w:t>
                          </w:r>
                        </w:p>
                        <w:p w14:paraId="3F312E6F" w14:textId="5CCF3AC7" w:rsidR="00BF4E5F" w:rsidRPr="00F412BB" w:rsidRDefault="00BF4E5F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UFR de Philosophie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90pt;margin-top:-.5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TP3dECAAAW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" filled="f" stroked="f">
              <v:textbox>
                <w:txbxContent>
                  <w:p w14:paraId="178B15BB" w14:textId="4CB5B7B0" w:rsidR="00CC54D9" w:rsidRPr="00F412BB" w:rsidRDefault="00CC54D9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Centre Pierre Abélard</w:t>
                    </w:r>
                  </w:p>
                  <w:p w14:paraId="0A006880" w14:textId="339B85B4" w:rsidR="00CC54D9" w:rsidRDefault="00F412BB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Université Paris-</w:t>
                    </w:r>
                    <w:r w:rsidR="00CC54D9"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Sorbonne</w:t>
                    </w:r>
                  </w:p>
                  <w:p w14:paraId="0397B31E" w14:textId="1ABCD91B" w:rsidR="003F51EC" w:rsidRDefault="003F51EC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EA 3552 « Métaphysique : histoires, transformations, actualité »</w:t>
                    </w:r>
                  </w:p>
                  <w:p w14:paraId="3F312E6F" w14:textId="5CCF3AC7" w:rsidR="00BF4E5F" w:rsidRPr="00F412BB" w:rsidRDefault="00BF4E5F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UFR de Philosophie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637B76">
      <w:rPr>
        <w:rFonts w:eastAsia="ArialMT" w:cs="Times New Roman"/>
        <w:noProof/>
        <w:spacing w:val="30"/>
        <w:kern w:val="56"/>
        <w:sz w:val="16"/>
        <w:szCs w:val="16"/>
        <w:lang w:val="it-IT" w:eastAsia="it-IT"/>
      </w:rPr>
      <w:drawing>
        <wp:inline distT="0" distB="0" distL="0" distR="0" wp14:anchorId="27DCFD6F" wp14:editId="3D1A8437">
          <wp:extent cx="1054838" cy="763848"/>
          <wp:effectExtent l="0" t="0" r="0" b="0"/>
          <wp:docPr id="1" name="Immagine 1" descr="Logoi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_ridot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23" t="-1190" r="30373" b="1190"/>
                  <a:stretch/>
                </pic:blipFill>
                <pic:spPr bwMode="auto">
                  <a:xfrm>
                    <a:off x="0" y="0"/>
                    <a:ext cx="1054838" cy="763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418"/>
  <w:hyphenationZone w:val="425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0"/>
    <w:rsid w:val="00025B9E"/>
    <w:rsid w:val="00082B80"/>
    <w:rsid w:val="00086147"/>
    <w:rsid w:val="001A30EA"/>
    <w:rsid w:val="002D23D6"/>
    <w:rsid w:val="00351403"/>
    <w:rsid w:val="003F51EC"/>
    <w:rsid w:val="004C7CD6"/>
    <w:rsid w:val="004F115C"/>
    <w:rsid w:val="00600FAF"/>
    <w:rsid w:val="00637B76"/>
    <w:rsid w:val="00682322"/>
    <w:rsid w:val="006A080F"/>
    <w:rsid w:val="006A4909"/>
    <w:rsid w:val="006B2333"/>
    <w:rsid w:val="006D78C5"/>
    <w:rsid w:val="00805206"/>
    <w:rsid w:val="008205DF"/>
    <w:rsid w:val="008A2B80"/>
    <w:rsid w:val="0096389D"/>
    <w:rsid w:val="009702EA"/>
    <w:rsid w:val="009B650E"/>
    <w:rsid w:val="009B701A"/>
    <w:rsid w:val="009D09C8"/>
    <w:rsid w:val="00A029E4"/>
    <w:rsid w:val="00AB363D"/>
    <w:rsid w:val="00BF4BED"/>
    <w:rsid w:val="00BF4E5F"/>
    <w:rsid w:val="00C35EAE"/>
    <w:rsid w:val="00CC39F7"/>
    <w:rsid w:val="00CC54D9"/>
    <w:rsid w:val="00CC7E2A"/>
    <w:rsid w:val="00CF1795"/>
    <w:rsid w:val="00CF6F1F"/>
    <w:rsid w:val="00D043B9"/>
    <w:rsid w:val="00D2313A"/>
    <w:rsid w:val="00DB086E"/>
    <w:rsid w:val="00E35C3B"/>
    <w:rsid w:val="00F07854"/>
    <w:rsid w:val="00F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07DD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belard.hypotheses.or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75BE3-12A1-1E45-8DB3-68552EA7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pasquale porro</cp:lastModifiedBy>
  <cp:revision>6</cp:revision>
  <cp:lastPrinted>2015-03-09T17:55:00Z</cp:lastPrinted>
  <dcterms:created xsi:type="dcterms:W3CDTF">2015-03-09T17:50:00Z</dcterms:created>
  <dcterms:modified xsi:type="dcterms:W3CDTF">2015-03-09T17:59:00Z</dcterms:modified>
</cp:coreProperties>
</file>