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75" w:rsidRDefault="00A42CBB">
      <w:pPr>
        <w:pStyle w:val="Corpsdetexte"/>
        <w:keepNext/>
        <w:spacing w:after="0" w:line="240" w:lineRule="auto"/>
        <w:jc w:val="center"/>
      </w:pPr>
      <w:r>
        <w:rPr>
          <w:b/>
          <w:color w:val="FF0000"/>
          <w:sz w:val="48"/>
        </w:rPr>
        <w:t>Histoire et anthropologie de la culture Aïnou au Japon</w:t>
      </w:r>
      <w:r>
        <w:rPr>
          <w:b/>
          <w:color w:val="FF0000"/>
          <w:sz w:val="36"/>
        </w:rPr>
        <w:t xml:space="preserve"> </w:t>
      </w:r>
    </w:p>
    <w:p w:rsidR="00A84B75" w:rsidRDefault="00A42CBB">
      <w:pPr>
        <w:pStyle w:val="Corpsdetexte"/>
        <w:spacing w:line="240" w:lineRule="auto"/>
        <w:jc w:val="center"/>
      </w:pPr>
      <w:r>
        <w:t>Jeudi 12 JANVIER 2017 de 11h à 13h30 (</w:t>
      </w:r>
      <w:r>
        <w:rPr>
          <w:color w:val="3366FF"/>
        </w:rPr>
        <w:t>Attention horaire modifié !</w:t>
      </w:r>
      <w:r>
        <w:t>)</w:t>
      </w:r>
    </w:p>
    <w:p w:rsidR="00A84B75" w:rsidRDefault="00A84B75">
      <w:pPr>
        <w:pStyle w:val="Corpsdetexte"/>
        <w:spacing w:line="240" w:lineRule="auto"/>
        <w:jc w:val="both"/>
      </w:pPr>
    </w:p>
    <w:p w:rsidR="00A84B75" w:rsidRDefault="00A42CBB">
      <w:pPr>
        <w:pStyle w:val="Corpsdetexte"/>
        <w:spacing w:line="240" w:lineRule="auto"/>
        <w:jc w:val="both"/>
      </w:pPr>
      <w:r>
        <w:t xml:space="preserve">Présentations de </w:t>
      </w:r>
      <w:proofErr w:type="spellStart"/>
      <w:r>
        <w:rPr>
          <w:b/>
        </w:rPr>
        <w:t>Noémi</w:t>
      </w:r>
      <w:proofErr w:type="spellEnd"/>
      <w:r>
        <w:rPr>
          <w:b/>
        </w:rPr>
        <w:t xml:space="preserve"> Godefroy</w:t>
      </w:r>
      <w:r>
        <w:t xml:space="preserve"> (CEJ-INALCO et CCJ) et d'</w:t>
      </w:r>
      <w:r>
        <w:rPr>
          <w:b/>
        </w:rPr>
        <w:t>Alice Berthon</w:t>
      </w:r>
      <w:r>
        <w:t xml:space="preserve"> (CEJ-INALCO) </w:t>
      </w:r>
    </w:p>
    <w:p w:rsidR="00A84B75" w:rsidRDefault="00A42CBB">
      <w:pPr>
        <w:pStyle w:val="Corpsdetexte"/>
        <w:spacing w:after="0" w:line="240" w:lineRule="auto"/>
        <w:jc w:val="center"/>
      </w:pPr>
      <w:proofErr w:type="gramStart"/>
      <w:r>
        <w:t>dans</w:t>
      </w:r>
      <w:proofErr w:type="gramEnd"/>
      <w:r>
        <w:t xml:space="preserve"> le cadre du séminaire </w:t>
      </w:r>
    </w:p>
    <w:p w:rsidR="00A84B75" w:rsidRDefault="00A42CBB">
      <w:pPr>
        <w:pStyle w:val="Corpsdetexte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Techniques, objets et Patrimoine culturel immatériel </w:t>
      </w:r>
    </w:p>
    <w:p w:rsidR="00A84B75" w:rsidRDefault="00A42CBB">
      <w:pPr>
        <w:pStyle w:val="Corpsdetexte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en</w:t>
      </w:r>
      <w:proofErr w:type="gramEnd"/>
      <w:r>
        <w:rPr>
          <w:b/>
          <w:bCs/>
        </w:rPr>
        <w:t xml:space="preserve"> Asie Orientale (XVIe-XXIe siècles)</w:t>
      </w:r>
    </w:p>
    <w:p w:rsidR="00A84B75" w:rsidRDefault="00A42CBB">
      <w:pPr>
        <w:pStyle w:val="Corpsdetexte"/>
        <w:spacing w:after="0" w:line="240" w:lineRule="auto"/>
        <w:jc w:val="center"/>
      </w:pPr>
      <w:proofErr w:type="gramStart"/>
      <w:r>
        <w:t>de</w:t>
      </w:r>
      <w:proofErr w:type="gramEnd"/>
      <w:r>
        <w:t xml:space="preserve"> Caroline </w:t>
      </w:r>
      <w:proofErr w:type="spellStart"/>
      <w:r>
        <w:t>Bodolec</w:t>
      </w:r>
      <w:proofErr w:type="spellEnd"/>
      <w:r>
        <w:t xml:space="preserve">, </w:t>
      </w:r>
      <w:proofErr w:type="spellStart"/>
      <w:r>
        <w:t>Michela</w:t>
      </w:r>
      <w:proofErr w:type="spellEnd"/>
      <w:r>
        <w:t xml:space="preserve"> Bussotti et Frédéric </w:t>
      </w:r>
      <w:proofErr w:type="spellStart"/>
      <w:r>
        <w:t>Obringer</w:t>
      </w:r>
      <w:proofErr w:type="spellEnd"/>
    </w:p>
    <w:p w:rsidR="00A84B75" w:rsidRDefault="00A84B75">
      <w:pPr>
        <w:pStyle w:val="Corpsdetexte"/>
        <w:spacing w:line="240" w:lineRule="auto"/>
        <w:jc w:val="both"/>
        <w:rPr>
          <w:b/>
        </w:rPr>
      </w:pPr>
    </w:p>
    <w:p w:rsidR="00A84B75" w:rsidRDefault="00A42CBB">
      <w:pPr>
        <w:pStyle w:val="Corpsdetexte"/>
        <w:spacing w:line="240" w:lineRule="auto"/>
        <w:jc w:val="both"/>
      </w:pPr>
      <w:r>
        <w:rPr>
          <w:b/>
        </w:rPr>
        <w:t>Alice Berthon</w:t>
      </w:r>
      <w:r>
        <w:t xml:space="preserve"> (doctorante au Centre d'études japonaises de l'INALCO) « La représentation des Aïnous au M</w:t>
      </w:r>
      <w:r>
        <w:t xml:space="preserve">usée national d'ethnologie (Japon) : entre reconnaissance et exclusion » </w:t>
      </w:r>
    </w:p>
    <w:p w:rsidR="00A84B75" w:rsidRDefault="00A42CBB">
      <w:pPr>
        <w:pStyle w:val="Corpsdetexte"/>
        <w:spacing w:after="198" w:line="240" w:lineRule="auto"/>
        <w:jc w:val="both"/>
      </w:pPr>
      <w:r>
        <w:t>En 1974, le Japon fonde son premier musée national d’ethnologie. Lorsqu’il ouvre ses portes au public en 1977, la culture de l’archipel et celle des Aïnous sont exposées dans deux es</w:t>
      </w:r>
      <w:r>
        <w:t xml:space="preserve">paces distincts, </w:t>
      </w:r>
      <w:proofErr w:type="spellStart"/>
      <w:r>
        <w:t>parmis</w:t>
      </w:r>
      <w:proofErr w:type="spellEnd"/>
      <w:r>
        <w:t xml:space="preserve"> les autres régions du monde. Dans le cas de la représentation de la culture </w:t>
      </w:r>
      <w:proofErr w:type="spellStart"/>
      <w:r>
        <w:t>aïnoue</w:t>
      </w:r>
      <w:proofErr w:type="spellEnd"/>
      <w:r>
        <w:t xml:space="preserve">, le discours de l’État qui considérait le Japon comme ethniquement homogène, ne correspondait pas à celui du musée. En effet, séparer la culture </w:t>
      </w:r>
      <w:proofErr w:type="spellStart"/>
      <w:r>
        <w:t>aïno</w:t>
      </w:r>
      <w:r>
        <w:t>ue</w:t>
      </w:r>
      <w:proofErr w:type="spellEnd"/>
      <w:r>
        <w:t xml:space="preserve"> de l’espace d’exposition sur le Japon visait à la reconnaitre en tant que culture à part entière et positionnait le musée à contre-courant du discours identitaire de mise à l’époque. Depuis, bien que le Japon ait reconnu les Aïnous comme peuple autochto</w:t>
      </w:r>
      <w:r>
        <w:t xml:space="preserve">ne (2008), la culture </w:t>
      </w:r>
      <w:proofErr w:type="spellStart"/>
      <w:r>
        <w:t>aïnoue</w:t>
      </w:r>
      <w:proofErr w:type="spellEnd"/>
      <w:r>
        <w:t xml:space="preserve"> est toujours exclue de l’espace consacré au Japon, même après son réaménagement en 201</w:t>
      </w:r>
      <w:r>
        <w:rPr>
          <w:color w:val="000000"/>
        </w:rPr>
        <w:t xml:space="preserve">4. Essentiellement à travers l’exemple de ce musée, l’exposé interrogera les enjeux liés à la représentation de l’autochtonie </w:t>
      </w:r>
      <w:proofErr w:type="spellStart"/>
      <w:r>
        <w:rPr>
          <w:color w:val="000000"/>
        </w:rPr>
        <w:t>aïnoue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dans</w:t>
      </w:r>
      <w:proofErr w:type="gramEnd"/>
      <w:r>
        <w:rPr>
          <w:color w:val="000000"/>
        </w:rPr>
        <w:t xml:space="preserve"> l’e</w:t>
      </w:r>
      <w:r>
        <w:rPr>
          <w:color w:val="000000"/>
        </w:rPr>
        <w:t>space muséal japonais.</w:t>
      </w:r>
    </w:p>
    <w:p w:rsidR="00A84B75" w:rsidRDefault="00A42CBB">
      <w:pPr>
        <w:keepNext/>
        <w:jc w:val="both"/>
      </w:pPr>
      <w:r>
        <w:rPr>
          <w:noProof/>
          <w:lang w:eastAsia="zh-CN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79725" cy="2160270"/>
            <wp:effectExtent l="0" t="0" r="0" b="0"/>
            <wp:wrapSquare wrapText="largest"/>
            <wp:docPr id="1" name="Image 1" descr="Môbako:Users:Galice:japon monbusho:Ainou Minpaku:ainou juin 2011:photo japon juin 2011 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ôbako:Users:Galice:japon monbusho:Ainou Minpaku:ainou juin 2011:photo japon juin 2011 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B75" w:rsidRDefault="00A84B75">
      <w:pPr>
        <w:pStyle w:val="Lgende"/>
        <w:spacing w:after="198"/>
        <w:jc w:val="both"/>
      </w:pPr>
    </w:p>
    <w:p w:rsidR="00A84B75" w:rsidRDefault="00A84B75">
      <w:pPr>
        <w:pStyle w:val="Lgende"/>
        <w:spacing w:after="198"/>
        <w:jc w:val="both"/>
      </w:pPr>
    </w:p>
    <w:p w:rsidR="00A84B75" w:rsidRDefault="00A84B75">
      <w:pPr>
        <w:pStyle w:val="Lgende"/>
        <w:spacing w:after="198"/>
        <w:jc w:val="both"/>
      </w:pPr>
    </w:p>
    <w:p w:rsidR="00A84B75" w:rsidRDefault="00A84B75">
      <w:pPr>
        <w:pStyle w:val="Lgende"/>
        <w:spacing w:after="198"/>
        <w:jc w:val="both"/>
      </w:pPr>
    </w:p>
    <w:p w:rsidR="00A84B75" w:rsidRDefault="00A84B75">
      <w:pPr>
        <w:pStyle w:val="Lgende"/>
        <w:spacing w:after="198"/>
        <w:jc w:val="both"/>
      </w:pPr>
    </w:p>
    <w:p w:rsidR="00A84B75" w:rsidRDefault="00A84B75">
      <w:pPr>
        <w:pStyle w:val="Lgende"/>
        <w:spacing w:after="198"/>
        <w:jc w:val="both"/>
      </w:pPr>
    </w:p>
    <w:p w:rsidR="00A84B75" w:rsidRDefault="00A84B75">
      <w:pPr>
        <w:pStyle w:val="Lgende"/>
        <w:spacing w:after="198"/>
        <w:jc w:val="both"/>
      </w:pPr>
    </w:p>
    <w:p w:rsidR="00A84B75" w:rsidRDefault="00A84B75">
      <w:pPr>
        <w:spacing w:after="198"/>
        <w:jc w:val="both"/>
      </w:pPr>
    </w:p>
    <w:p w:rsidR="00A84B75" w:rsidRDefault="00A42CBB">
      <w:pPr>
        <w:pStyle w:val="Lgende"/>
        <w:spacing w:after="198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Vue de l’espace d’exposition sur la culture </w:t>
      </w:r>
      <w:proofErr w:type="spellStart"/>
      <w:r>
        <w:rPr>
          <w:b w:val="0"/>
          <w:bCs w:val="0"/>
          <w:color w:val="000000"/>
          <w:sz w:val="20"/>
          <w:szCs w:val="20"/>
        </w:rPr>
        <w:t>aïnoue</w:t>
      </w:r>
      <w:proofErr w:type="spellEnd"/>
      <w:r>
        <w:rPr>
          <w:b w:val="0"/>
          <w:bCs w:val="0"/>
          <w:color w:val="000000"/>
          <w:sz w:val="20"/>
          <w:szCs w:val="20"/>
        </w:rPr>
        <w:t>, Musée national d’ethnologie (Japon), cliché A. Berthon, 2012</w:t>
      </w:r>
    </w:p>
    <w:p w:rsidR="00A84B75" w:rsidRDefault="00A42CBB">
      <w:pPr>
        <w:pStyle w:val="Corpsdetexte"/>
        <w:spacing w:after="198" w:line="240" w:lineRule="auto"/>
        <w:jc w:val="both"/>
      </w:pPr>
      <w:proofErr w:type="spellStart"/>
      <w:r>
        <w:rPr>
          <w:b/>
        </w:rPr>
        <w:lastRenderedPageBreak/>
        <w:t>Noémi</w:t>
      </w:r>
      <w:proofErr w:type="spellEnd"/>
      <w:r>
        <w:rPr>
          <w:b/>
        </w:rPr>
        <w:t xml:space="preserve"> Godefroy</w:t>
      </w:r>
      <w:r>
        <w:t xml:space="preserve"> (Jeune chercheur associée au Centre Japon CCJ et au CEJ - INALCO) « La minorité </w:t>
      </w:r>
      <w:proofErr w:type="spellStart"/>
      <w:r>
        <w:t>aïnoue</w:t>
      </w:r>
      <w:proofErr w:type="spellEnd"/>
      <w:r>
        <w:t xml:space="preserve"> au Japon</w:t>
      </w:r>
      <w:r>
        <w:t xml:space="preserve"> - Les liens entre autochtonie et patrimoine dans une perspective historique, 1868-2008 »</w:t>
      </w:r>
    </w:p>
    <w:p w:rsidR="00A84B75" w:rsidRDefault="00A42CBB">
      <w:pPr>
        <w:pStyle w:val="Corpsdetexte"/>
        <w:spacing w:after="198" w:line="240" w:lineRule="auto"/>
        <w:jc w:val="both"/>
      </w:pPr>
      <w:r>
        <w:t xml:space="preserve">Lors de l’annexion de Hokkaido en 1869, la population autochtone </w:t>
      </w:r>
      <w:proofErr w:type="spellStart"/>
      <w:r>
        <w:t>aïnoue</w:t>
      </w:r>
      <w:proofErr w:type="spellEnd"/>
      <w:r>
        <w:t xml:space="preserve"> devient une partie intégrante de la population japonaise, sous la dénomination d’ « anciens in</w:t>
      </w:r>
      <w:r>
        <w:t xml:space="preserve">digènes », avant de disparaître des textes et du discours officiel en 1937, dans un contexte de conflit sino-japonais. Après guerre, groupes et association </w:t>
      </w:r>
      <w:proofErr w:type="spellStart"/>
      <w:r>
        <w:t>aïnoues</w:t>
      </w:r>
      <w:proofErr w:type="spellEnd"/>
      <w:r>
        <w:t xml:space="preserve"> se sont mobilisées pour faire reconnaître l’existence de la minorité autochtone </w:t>
      </w:r>
      <w:proofErr w:type="spellStart"/>
      <w:r>
        <w:t>aïnoue</w:t>
      </w:r>
      <w:proofErr w:type="spellEnd"/>
      <w:r>
        <w:t xml:space="preserve"> au Ja</w:t>
      </w:r>
      <w:r>
        <w:t>pon, reconnaissance acquise en 2008. Comment les acteurs aïnous de la reconnaissance ont-ils mis à profit le patrimoine culturel autochtone pour atteindre leur objectif ? Quels rôles la réappropriation et la mobilisation du patrimoine culturel aïnou ont-el</w:t>
      </w:r>
      <w:r>
        <w:t xml:space="preserve">les joué dans </w:t>
      </w:r>
      <w:proofErr w:type="gramStart"/>
      <w:r>
        <w:t>la</w:t>
      </w:r>
      <w:proofErr w:type="gramEnd"/>
      <w:r>
        <w:t xml:space="preserve"> (</w:t>
      </w:r>
      <w:proofErr w:type="spellStart"/>
      <w:r>
        <w:t>re</w:t>
      </w:r>
      <w:proofErr w:type="spellEnd"/>
      <w:r>
        <w:t xml:space="preserve">)construction de l’autochtonie </w:t>
      </w:r>
      <w:proofErr w:type="spellStart"/>
      <w:r>
        <w:t>aïnoue</w:t>
      </w:r>
      <w:proofErr w:type="spellEnd"/>
      <w:r>
        <w:t xml:space="preserve"> ? </w:t>
      </w:r>
    </w:p>
    <w:p w:rsidR="00A84B75" w:rsidRDefault="00A42CBB">
      <w:pPr>
        <w:pStyle w:val="Corpsdetexte"/>
        <w:spacing w:after="198" w:line="240" w:lineRule="auto"/>
        <w:jc w:val="both"/>
      </w:pPr>
      <w:r>
        <w:rPr>
          <w:noProof/>
          <w:lang w:eastAsia="zh-CN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99815" cy="2037715"/>
            <wp:effectExtent l="0" t="0" r="0" b="0"/>
            <wp:wrapSquare wrapText="largest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B75" w:rsidRDefault="00A84B75">
      <w:pPr>
        <w:pStyle w:val="Corpsdetexte"/>
        <w:spacing w:after="198" w:line="240" w:lineRule="auto"/>
        <w:jc w:val="both"/>
        <w:rPr>
          <w:sz w:val="20"/>
          <w:szCs w:val="20"/>
        </w:rPr>
      </w:pPr>
    </w:p>
    <w:p w:rsidR="00A84B75" w:rsidRDefault="00A84B75">
      <w:pPr>
        <w:pStyle w:val="Corpsdetexte"/>
        <w:spacing w:after="198" w:line="240" w:lineRule="auto"/>
        <w:jc w:val="both"/>
        <w:rPr>
          <w:sz w:val="20"/>
          <w:szCs w:val="20"/>
        </w:rPr>
      </w:pPr>
    </w:p>
    <w:p w:rsidR="00A84B75" w:rsidRDefault="00A84B75">
      <w:pPr>
        <w:pStyle w:val="Corpsdetexte"/>
        <w:spacing w:after="198" w:line="240" w:lineRule="auto"/>
        <w:jc w:val="both"/>
        <w:rPr>
          <w:sz w:val="20"/>
          <w:szCs w:val="20"/>
        </w:rPr>
      </w:pPr>
    </w:p>
    <w:p w:rsidR="00A84B75" w:rsidRDefault="00A84B75">
      <w:pPr>
        <w:pStyle w:val="Corpsdetexte"/>
        <w:spacing w:after="198" w:line="240" w:lineRule="auto"/>
        <w:jc w:val="both"/>
        <w:rPr>
          <w:sz w:val="20"/>
          <w:szCs w:val="20"/>
        </w:rPr>
      </w:pPr>
    </w:p>
    <w:p w:rsidR="00A84B75" w:rsidRDefault="00A84B75">
      <w:pPr>
        <w:pStyle w:val="Corpsdetexte"/>
        <w:spacing w:after="198" w:line="240" w:lineRule="auto"/>
        <w:jc w:val="both"/>
        <w:rPr>
          <w:sz w:val="20"/>
          <w:szCs w:val="20"/>
        </w:rPr>
      </w:pPr>
    </w:p>
    <w:p w:rsidR="00A84B75" w:rsidRDefault="00A84B75">
      <w:pPr>
        <w:pStyle w:val="Corpsdetexte"/>
        <w:spacing w:after="198" w:line="240" w:lineRule="auto"/>
        <w:jc w:val="both"/>
        <w:rPr>
          <w:sz w:val="20"/>
          <w:szCs w:val="20"/>
        </w:rPr>
      </w:pPr>
    </w:p>
    <w:p w:rsidR="00A84B75" w:rsidRDefault="00A84B75">
      <w:pPr>
        <w:pStyle w:val="Corpsdetexte"/>
        <w:spacing w:after="198" w:line="240" w:lineRule="auto"/>
        <w:jc w:val="both"/>
        <w:rPr>
          <w:sz w:val="20"/>
          <w:szCs w:val="20"/>
        </w:rPr>
      </w:pPr>
    </w:p>
    <w:p w:rsidR="00A84B75" w:rsidRDefault="00A42CBB">
      <w:pPr>
        <w:pStyle w:val="Corpsdetexte"/>
        <w:spacing w:after="198" w:line="240" w:lineRule="auto"/>
        <w:jc w:val="both"/>
      </w:pPr>
      <w:r>
        <w:rPr>
          <w:sz w:val="20"/>
          <w:szCs w:val="20"/>
        </w:rPr>
        <w:t xml:space="preserve">Manifestation pour la reconnaissance de la minorité </w:t>
      </w:r>
      <w:proofErr w:type="spellStart"/>
      <w:r>
        <w:rPr>
          <w:sz w:val="20"/>
          <w:szCs w:val="20"/>
        </w:rPr>
        <w:t>aïnoue</w:t>
      </w:r>
      <w:proofErr w:type="spellEnd"/>
      <w:r>
        <w:rPr>
          <w:sz w:val="20"/>
          <w:szCs w:val="20"/>
        </w:rPr>
        <w:t xml:space="preserve">, mai 2008, Tokyo. </w:t>
      </w:r>
      <w:r>
        <w:rPr>
          <w:rStyle w:val="lev"/>
          <w:b w:val="0"/>
          <w:bCs w:val="0"/>
          <w:sz w:val="20"/>
          <w:szCs w:val="20"/>
          <w:lang w:val="en-US"/>
        </w:rPr>
        <w:t>©TOKYO Ainu Film Production Committee</w:t>
      </w:r>
    </w:p>
    <w:sectPr w:rsidR="00A84B75" w:rsidSect="00A84B75">
      <w:pgSz w:w="11906" w:h="16838"/>
      <w:pgMar w:top="1417" w:right="1417" w:bottom="1417" w:left="141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1"/>
    <w:family w:val="roman"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hyphenationZone w:val="425"/>
  <w:characterSpacingControl w:val="doNotCompress"/>
  <w:compat>
    <w:useFELayout/>
  </w:compat>
  <w:rsids>
    <w:rsidRoot w:val="00A84B75"/>
    <w:rsid w:val="00A42CBB"/>
    <w:rsid w:val="00A8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34"/>
    <w:pPr>
      <w:spacing w:after="200"/>
    </w:pPr>
    <w:rPr>
      <w:rFonts w:ascii="Cambria" w:eastAsia="MS Mincho" w:hAnsi="Cambria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C3894"/>
    <w:rPr>
      <w:rFonts w:ascii="Lucida Grande" w:hAnsi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A43CB9"/>
    <w:rPr>
      <w:b/>
      <w:bCs/>
    </w:rPr>
  </w:style>
  <w:style w:type="paragraph" w:styleId="Titre">
    <w:name w:val="Title"/>
    <w:basedOn w:val="Normal"/>
    <w:next w:val="Corpsdetexte"/>
    <w:qFormat/>
    <w:rsid w:val="001648C6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Corpsdetexte">
    <w:name w:val="Body Text"/>
    <w:basedOn w:val="Normal"/>
    <w:rsid w:val="001648C6"/>
    <w:pPr>
      <w:spacing w:after="140" w:line="288" w:lineRule="auto"/>
    </w:pPr>
  </w:style>
  <w:style w:type="paragraph" w:styleId="Liste">
    <w:name w:val="List"/>
    <w:basedOn w:val="Corpsdetexte"/>
    <w:rsid w:val="001648C6"/>
    <w:rPr>
      <w:rFonts w:ascii="Times New Roman" w:hAnsi="Times New Roman" w:cs="FreeSans"/>
    </w:rPr>
  </w:style>
  <w:style w:type="paragraph" w:customStyle="1" w:styleId="Caption">
    <w:name w:val="Caption"/>
    <w:basedOn w:val="Normal"/>
    <w:qFormat/>
    <w:rsid w:val="001648C6"/>
    <w:pPr>
      <w:suppressLineNumbers/>
      <w:spacing w:before="120" w:after="120"/>
    </w:pPr>
    <w:rPr>
      <w:rFonts w:ascii="Times New Roman" w:hAnsi="Times New Roman" w:cs="FreeSans"/>
      <w:i/>
      <w:iCs/>
    </w:rPr>
  </w:style>
  <w:style w:type="paragraph" w:customStyle="1" w:styleId="Index">
    <w:name w:val="Index"/>
    <w:basedOn w:val="Normal"/>
    <w:qFormat/>
    <w:rsid w:val="001648C6"/>
    <w:pPr>
      <w:suppressLineNumbers/>
    </w:pPr>
    <w:rPr>
      <w:rFonts w:ascii="Times New Roman" w:hAnsi="Times New Roman"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C3894"/>
    <w:pPr>
      <w:spacing w:after="0"/>
    </w:pPr>
    <w:rPr>
      <w:rFonts w:ascii="Lucida Grande" w:hAnsi="Lucida Grande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2F39A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419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Berthon Alice</dc:creator>
  <dc:description/>
  <cp:lastModifiedBy>Monique</cp:lastModifiedBy>
  <cp:revision>2</cp:revision>
  <dcterms:created xsi:type="dcterms:W3CDTF">2017-01-09T15:19:00Z</dcterms:created>
  <dcterms:modified xsi:type="dcterms:W3CDTF">2017-01-09T15:19:00Z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