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66FC" w14:textId="77777777" w:rsidR="0075600B" w:rsidRPr="00E719C5" w:rsidRDefault="00C71C8C" w:rsidP="007560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719C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</w:t>
      </w:r>
      <w:r w:rsidR="0075600B" w:rsidRPr="00E719C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nternational </w:t>
      </w:r>
      <w:r w:rsidRPr="00E719C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Symposium</w:t>
      </w:r>
    </w:p>
    <w:p w14:paraId="5A62AB62" w14:textId="77777777" w:rsidR="00156725" w:rsidRPr="00E719C5" w:rsidRDefault="00CA1915" w:rsidP="00AD700B">
      <w:pPr>
        <w:jc w:val="center"/>
        <w:rPr>
          <w:rFonts w:ascii="Times New Roman" w:hAnsi="Times New Roman" w:cs="Times New Roman"/>
          <w:b/>
          <w:sz w:val="24"/>
          <w:szCs w:val="24"/>
          <w:lang w:val="en-GB" w:eastAsia="fr-FR"/>
        </w:rPr>
      </w:pPr>
      <w:r w:rsidRPr="00E719C5">
        <w:rPr>
          <w:rFonts w:ascii="Times New Roman" w:hAnsi="Times New Roman" w:cs="Times New Roman"/>
          <w:b/>
          <w:sz w:val="24"/>
          <w:szCs w:val="24"/>
          <w:lang w:val="en-GB" w:eastAsia="fr-FR"/>
        </w:rPr>
        <w:t>Tec</w:t>
      </w:r>
      <w:r w:rsidR="00C71C8C" w:rsidRPr="00E719C5">
        <w:rPr>
          <w:rFonts w:ascii="Times New Roman" w:hAnsi="Times New Roman" w:cs="Times New Roman"/>
          <w:b/>
          <w:sz w:val="24"/>
          <w:szCs w:val="24"/>
          <w:lang w:val="en-GB" w:eastAsia="fr-FR"/>
        </w:rPr>
        <w:t>hnique and R</w:t>
      </w:r>
      <w:r w:rsidR="00785D26" w:rsidRPr="00E719C5">
        <w:rPr>
          <w:rFonts w:ascii="Times New Roman" w:hAnsi="Times New Roman" w:cs="Times New Roman"/>
          <w:b/>
          <w:sz w:val="24"/>
          <w:szCs w:val="24"/>
          <w:lang w:val="en-GB" w:eastAsia="fr-FR"/>
        </w:rPr>
        <w:t>eligion:</w:t>
      </w:r>
      <w:r w:rsidR="00AD700B" w:rsidRPr="00E719C5">
        <w:rPr>
          <w:rFonts w:ascii="Times New Roman" w:hAnsi="Times New Roman" w:cs="Times New Roman"/>
          <w:b/>
          <w:sz w:val="24"/>
          <w:szCs w:val="24"/>
          <w:lang w:val="en-GB" w:eastAsia="fr-FR"/>
        </w:rPr>
        <w:t xml:space="preserve"> </w:t>
      </w:r>
    </w:p>
    <w:p w14:paraId="1655C6A4" w14:textId="383BB8BF" w:rsidR="00072029" w:rsidRPr="00C71C8C" w:rsidRDefault="00C71C8C" w:rsidP="00AD700B">
      <w:pPr>
        <w:jc w:val="center"/>
        <w:rPr>
          <w:rFonts w:ascii="Times New Roman" w:hAnsi="Times New Roman" w:cs="Times New Roman"/>
          <w:b/>
          <w:sz w:val="24"/>
          <w:szCs w:val="24"/>
          <w:lang w:val="en-GB" w:eastAsia="fr-FR"/>
        </w:rPr>
      </w:pPr>
      <w:r w:rsidRPr="00C71C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Technical Cultures</w:t>
      </w:r>
      <w:r w:rsidR="00072029" w:rsidRPr="00C71C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Pr="00C71C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Belie</w:t>
      </w:r>
      <w:r w:rsidR="004A0A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</w:t>
      </w:r>
      <w:r w:rsidRPr="00C71C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s, C</w:t>
      </w:r>
      <w:r w:rsidR="00072029" w:rsidRPr="00C71C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irculations </w:t>
      </w:r>
      <w:r w:rsidRPr="00C71C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from Antiquity</w:t>
      </w:r>
      <w:r w:rsidR="00072029" w:rsidRPr="00C71C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4A0A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until</w:t>
      </w:r>
      <w:r w:rsidR="004A0ACC" w:rsidRPr="00C71C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4A0A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Today</w:t>
      </w:r>
    </w:p>
    <w:p w14:paraId="73B2349A" w14:textId="662B4F20" w:rsidR="00CA1915" w:rsidRPr="00E719C5" w:rsidRDefault="00072029" w:rsidP="00EC002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719C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Paris, </w:t>
      </w:r>
      <w:r w:rsidR="00B47F88" w:rsidRPr="00E719C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14</w:t>
      </w:r>
      <w:r w:rsidR="00C71C8C" w:rsidRPr="00E719C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GB"/>
        </w:rPr>
        <w:t>th</w:t>
      </w:r>
      <w:r w:rsidR="00B47F88" w:rsidRPr="00E719C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-15</w:t>
      </w:r>
      <w:r w:rsidR="008552E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GB"/>
        </w:rPr>
        <w:t>t</w:t>
      </w:r>
      <w:r w:rsidR="00C71C8C" w:rsidRPr="00E719C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GB"/>
        </w:rPr>
        <w:t>h</w:t>
      </w:r>
      <w:r w:rsidR="00C71C8C" w:rsidRPr="00E719C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September</w:t>
      </w:r>
      <w:r w:rsidRPr="00E719C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2020 </w:t>
      </w:r>
    </w:p>
    <w:p w14:paraId="1698EC89" w14:textId="77777777" w:rsidR="008C6F37" w:rsidRPr="00E719C5" w:rsidRDefault="008C6F37" w:rsidP="000720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14:paraId="03B70F87" w14:textId="2687735D" w:rsidR="00072029" w:rsidRPr="00C71C8C" w:rsidRDefault="00C71C8C" w:rsidP="00D47D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C71C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Call for paper </w:t>
      </w:r>
      <w:r w:rsidR="0060432A" w:rsidRPr="00C71C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(30</w:t>
      </w:r>
      <w:r w:rsidRPr="00C71C8C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  November</w:t>
      </w:r>
      <w:r w:rsidR="008B5072" w:rsidRPr="00C71C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 2019)</w:t>
      </w:r>
    </w:p>
    <w:p w14:paraId="20DB53A9" w14:textId="77777777" w:rsidR="00072029" w:rsidRPr="00C71C8C" w:rsidRDefault="00072029" w:rsidP="005971B5">
      <w:pPr>
        <w:rPr>
          <w:rFonts w:ascii="Times New Roman" w:hAnsi="Times New Roman" w:cs="Times New Roman"/>
          <w:b/>
          <w:sz w:val="24"/>
          <w:szCs w:val="24"/>
          <w:lang w:val="en-GB" w:eastAsia="fr-FR"/>
        </w:rPr>
      </w:pPr>
    </w:p>
    <w:p w14:paraId="192534EB" w14:textId="3DC25087" w:rsidR="00C71C8C" w:rsidRPr="00C71C8C" w:rsidRDefault="00C71C8C" w:rsidP="00C71C8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The purpose of this symposium is to </w:t>
      </w:r>
      <w:r w:rsidR="00D47D2F">
        <w:rPr>
          <w:rFonts w:ascii="Times New Roman" w:hAnsi="Times New Roman" w:cs="Times New Roman"/>
          <w:sz w:val="24"/>
          <w:szCs w:val="24"/>
          <w:lang w:val="en-GB"/>
        </w:rPr>
        <w:t>offer the opportunity and the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place to </w:t>
      </w:r>
      <w:r w:rsidR="00D47D2F">
        <w:rPr>
          <w:rFonts w:ascii="Times New Roman" w:hAnsi="Times New Roman" w:cs="Times New Roman"/>
          <w:sz w:val="24"/>
          <w:szCs w:val="24"/>
          <w:lang w:val="en-GB"/>
        </w:rPr>
        <w:t xml:space="preserve">conduct a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>reflection 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relationship between technique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and religion. Until recently, the history of social sciences has reserved a relative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ly marginal place </w:t>
      </w:r>
      <w:r w:rsidR="00C12E8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technique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as a sphere of human activity, 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 xml:space="preserve">instead </w:t>
      </w:r>
      <w:r w:rsidR="00D47D2F">
        <w:rPr>
          <w:rFonts w:ascii="Times New Roman" w:hAnsi="Times New Roman" w:cs="Times New Roman"/>
          <w:sz w:val="24"/>
          <w:szCs w:val="24"/>
          <w:lang w:val="en-GB"/>
        </w:rPr>
        <w:t>taking</w:t>
      </w:r>
      <w:r w:rsidR="00D47D2F"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>as object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of study areas where the coherence of a collec</w:t>
      </w:r>
      <w:r w:rsidR="0083255E">
        <w:rPr>
          <w:rFonts w:ascii="Times New Roman" w:hAnsi="Times New Roman" w:cs="Times New Roman"/>
          <w:sz w:val="24"/>
          <w:szCs w:val="24"/>
          <w:lang w:val="en-GB"/>
        </w:rPr>
        <w:t>tive consciousness is manifest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>notably</w:t>
      </w:r>
      <w:r w:rsidR="000874FD"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religious practice. A 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>separation</w:t>
      </w:r>
      <w:r w:rsidR="000874FD"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>drawn</w:t>
      </w:r>
      <w:r w:rsidR="000874FD"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between the primacy that 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>then-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emerging sociology 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>granted</w:t>
      </w:r>
      <w:r w:rsidR="000874FD"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>to the religious fact as a basic social phenomenon (Emile Durkheim)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 xml:space="preserve"> on the one hand,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and instrumental practices, which were therefore limited to the infra-social domain of individual organic subsistence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>, on the other hand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. Technique and religion, two fundamental forms of discovery and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constitution of experience, have thus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874FD" w:rsidRPr="00C71C8C">
        <w:rPr>
          <w:rFonts w:ascii="Times New Roman" w:hAnsi="Times New Roman" w:cs="Times New Roman"/>
          <w:sz w:val="24"/>
          <w:szCs w:val="24"/>
          <w:lang w:val="en-GB"/>
        </w:rPr>
        <w:t>in th</w:t>
      </w:r>
      <w:r w:rsidR="000874FD">
        <w:rPr>
          <w:rFonts w:ascii="Times New Roman" w:hAnsi="Times New Roman" w:cs="Times New Roman"/>
          <w:sz w:val="24"/>
          <w:szCs w:val="24"/>
          <w:lang w:val="en-GB"/>
        </w:rPr>
        <w:t xml:space="preserve">e social sciences,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given rise </w:t>
      </w:r>
      <w:r w:rsidR="00952FA3">
        <w:rPr>
          <w:rFonts w:ascii="Times New Roman" w:hAnsi="Times New Roman" w:cs="Times New Roman"/>
          <w:sz w:val="24"/>
          <w:szCs w:val="24"/>
          <w:lang w:val="en-GB"/>
        </w:rPr>
        <w:t>to divergent “interests of knowledge”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that historically </w:t>
      </w:r>
      <w:r w:rsidR="00170448">
        <w:rPr>
          <w:rFonts w:ascii="Times New Roman" w:hAnsi="Times New Roman" w:cs="Times New Roman"/>
          <w:sz w:val="24"/>
          <w:szCs w:val="24"/>
          <w:lang w:val="en-GB"/>
        </w:rPr>
        <w:t>account for</w:t>
      </w:r>
      <w:r w:rsidR="00170448"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>the selection and formulation of object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70448">
        <w:rPr>
          <w:rFonts w:ascii="Times New Roman" w:hAnsi="Times New Roman" w:cs="Times New Roman"/>
          <w:sz w:val="24"/>
          <w:szCs w:val="24"/>
          <w:lang w:val="en-GB"/>
        </w:rPr>
        <w:t xml:space="preserve"> of knowledge</w:t>
      </w:r>
      <w:r>
        <w:rPr>
          <w:rFonts w:ascii="Times New Roman" w:hAnsi="Times New Roman" w:cs="Times New Roman"/>
          <w:sz w:val="24"/>
          <w:szCs w:val="24"/>
          <w:lang w:val="en-GB"/>
        </w:rPr>
        <w:t>. Yet history of techniques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history of 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religion have never ceased to </w:t>
      </w:r>
      <w:r w:rsidR="005D0F52">
        <w:rPr>
          <w:rFonts w:ascii="Times New Roman" w:hAnsi="Times New Roman" w:cs="Times New Roman"/>
          <w:sz w:val="24"/>
          <w:szCs w:val="24"/>
          <w:lang w:val="en-GB"/>
        </w:rPr>
        <w:t>interact, often in a conflicting</w:t>
      </w:r>
      <w:r w:rsidRPr="00C71C8C">
        <w:rPr>
          <w:rFonts w:ascii="Times New Roman" w:hAnsi="Times New Roman" w:cs="Times New Roman"/>
          <w:sz w:val="24"/>
          <w:szCs w:val="24"/>
          <w:lang w:val="en-GB"/>
        </w:rPr>
        <w:t xml:space="preserve"> manner.</w:t>
      </w:r>
    </w:p>
    <w:p w14:paraId="436BC987" w14:textId="3F04CC3A" w:rsidR="00846981" w:rsidRPr="005D0F52" w:rsidRDefault="007A4B08" w:rsidP="002B70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4B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Interferences between techniques and religions belong, on </w:t>
      </w:r>
      <w:r w:rsidR="00EF725B">
        <w:rPr>
          <w:rFonts w:ascii="Times New Roman" w:hAnsi="Times New Roman" w:cs="Times New Roman"/>
          <w:b/>
          <w:sz w:val="24"/>
          <w:szCs w:val="24"/>
          <w:lang w:val="en-GB"/>
        </w:rPr>
        <w:t>one side</w:t>
      </w:r>
      <w:r w:rsidRPr="007A4B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to the history of thought,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Pr="007A4B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dogmas and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Pr="007A4B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their interpretations.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On the one hand,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for instance stands Alfred Espinas’</w:t>
      </w:r>
      <w:r w:rsidR="00EF725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model, </w:t>
      </w:r>
      <w:r w:rsidR="00EF725B">
        <w:rPr>
          <w:rFonts w:ascii="Times New Roman" w:hAnsi="Times New Roman" w:cs="Times New Roman"/>
          <w:sz w:val="24"/>
          <w:szCs w:val="24"/>
          <w:lang w:val="en-GB"/>
        </w:rPr>
        <w:t xml:space="preserve">i.e.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the progressive secularization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of techniques, which he believed marked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the discontinuity between the archaic and classical periods. </w:t>
      </w:r>
      <w:r w:rsidR="00EF725B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this scheme, the “physico-theological”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period, which </w:t>
      </w:r>
      <w:r w:rsidR="00EF725B">
        <w:rPr>
          <w:rFonts w:ascii="Times New Roman" w:hAnsi="Times New Roman" w:cs="Times New Roman"/>
          <w:sz w:val="24"/>
          <w:szCs w:val="24"/>
          <w:lang w:val="en-GB"/>
        </w:rPr>
        <w:t>stretches</w:t>
      </w:r>
      <w:r w:rsidR="00EF725B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the 8th to the 5</w:t>
      </w:r>
      <w:r w:rsidR="002B70C1" w:rsidRPr="008C6DF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C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century BC, wa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s characterized by the influence of </w:t>
      </w:r>
      <w:r w:rsidR="00EF725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religious </w:t>
      </w:r>
      <w:r w:rsidR="00EF725B">
        <w:rPr>
          <w:rFonts w:ascii="Times New Roman" w:hAnsi="Times New Roman" w:cs="Times New Roman"/>
          <w:sz w:val="24"/>
          <w:szCs w:val="24"/>
          <w:lang w:val="en-GB"/>
        </w:rPr>
        <w:t>feeling</w:t>
      </w:r>
      <w:r w:rsidR="00EF725B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725B">
        <w:rPr>
          <w:rFonts w:ascii="Times New Roman" w:hAnsi="Times New Roman" w:cs="Times New Roman"/>
          <w:sz w:val="24"/>
          <w:szCs w:val="24"/>
          <w:lang w:val="en-GB"/>
        </w:rPr>
        <w:t>up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on artisan action.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 xml:space="preserve"> Techniques we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re conceived as divin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e gifts and their transmission wa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s exclusively based on imitation and tradition. The period of the </w:t>
      </w:r>
      <w:r w:rsidR="002B70C1" w:rsidRPr="0081328C">
        <w:rPr>
          <w:rFonts w:ascii="Times New Roman" w:hAnsi="Times New Roman" w:cs="Times New Roman"/>
          <w:i/>
          <w:sz w:val="24"/>
          <w:szCs w:val="24"/>
          <w:lang w:val="en-GB"/>
        </w:rPr>
        <w:t>organon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, which extends from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the 5</w:t>
      </w:r>
      <w:r w:rsidR="002B70C1" w:rsidRPr="008C6DF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C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to the 4</w:t>
      </w:r>
      <w:r w:rsidR="002B70C1" w:rsidRPr="008C6DF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 xml:space="preserve"> century BC, </w:t>
      </w:r>
      <w:r w:rsidR="00AB3D2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AB3D26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characterized by the increasing differentiation of professions and the secularization of practices. This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model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, which is based on a questionable use of sources, </w:t>
      </w:r>
      <w:r w:rsidR="00AB3D26">
        <w:rPr>
          <w:rFonts w:ascii="Times New Roman" w:hAnsi="Times New Roman" w:cs="Times New Roman"/>
          <w:sz w:val="24"/>
          <w:szCs w:val="24"/>
          <w:lang w:val="en-GB"/>
        </w:rPr>
        <w:t>was endorsed</w:t>
      </w:r>
      <w:r w:rsidR="00AB3D26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913B18">
        <w:rPr>
          <w:rFonts w:ascii="Times New Roman" w:hAnsi="Times New Roman" w:cs="Times New Roman"/>
          <w:sz w:val="24"/>
          <w:szCs w:val="24"/>
          <w:lang w:val="en-GB"/>
        </w:rPr>
        <w:t xml:space="preserve">Jean-Pierre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Vernant. </w:t>
      </w:r>
      <w:r w:rsidR="00AB3D26">
        <w:rPr>
          <w:rFonts w:ascii="Times New Roman" w:hAnsi="Times New Roman" w:cs="Times New Roman"/>
          <w:sz w:val="24"/>
          <w:szCs w:val="24"/>
          <w:lang w:val="en-GB"/>
        </w:rPr>
        <w:t xml:space="preserve">Yet  </w:t>
      </w:r>
      <w:r w:rsidR="005D2D69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D2D69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time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3D26">
        <w:rPr>
          <w:rFonts w:ascii="Times New Roman" w:hAnsi="Times New Roman" w:cs="Times New Roman"/>
          <w:sz w:val="24"/>
          <w:szCs w:val="24"/>
          <w:lang w:val="en-GB"/>
        </w:rPr>
        <w:t xml:space="preserve">has come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to problematize</w:t>
      </w:r>
      <w:r w:rsidR="00AB3D26">
        <w:rPr>
          <w:rFonts w:ascii="Times New Roman" w:hAnsi="Times New Roman" w:cs="Times New Roman"/>
          <w:sz w:val="24"/>
          <w:szCs w:val="24"/>
          <w:lang w:val="en-GB"/>
        </w:rPr>
        <w:t xml:space="preserve"> and discuss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Another example is the movement of secularization of religions and desacralization of nature, associated with monotheisms, themselves perceived as levers of knowledge, </w:t>
      </w:r>
      <w:r w:rsidR="004F225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exploitation of nature and</w:t>
      </w:r>
      <w:r w:rsidR="004F225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possibly, </w:t>
      </w:r>
      <w:r w:rsidR="004F225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the pursuit of profit, since the Middle Ages or the Reformation, a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ccording to the authors. T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echnique is </w:t>
      </w:r>
      <w:r w:rsidR="000F3B69">
        <w:rPr>
          <w:rFonts w:ascii="Times New Roman" w:hAnsi="Times New Roman" w:cs="Times New Roman"/>
          <w:sz w:val="24"/>
          <w:szCs w:val="24"/>
          <w:lang w:val="en-GB"/>
        </w:rPr>
        <w:t>tightly</w:t>
      </w:r>
      <w:r w:rsidR="004F2258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3B69">
        <w:rPr>
          <w:rFonts w:ascii="Times New Roman" w:hAnsi="Times New Roman" w:cs="Times New Roman"/>
          <w:sz w:val="24"/>
          <w:szCs w:val="24"/>
          <w:lang w:val="en-GB"/>
        </w:rPr>
        <w:t>interwoven</w:t>
      </w:r>
      <w:r w:rsidR="004F2258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3B69">
        <w:rPr>
          <w:rFonts w:ascii="Times New Roman" w:hAnsi="Times New Roman" w:cs="Times New Roman"/>
          <w:sz w:val="24"/>
          <w:szCs w:val="24"/>
          <w:lang w:val="en-GB"/>
        </w:rPr>
        <w:t>into</w:t>
      </w:r>
      <w:r w:rsidR="000F3B69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4F2258">
        <w:rPr>
          <w:rFonts w:ascii="Times New Roman" w:hAnsi="Times New Roman" w:cs="Times New Roman"/>
          <w:sz w:val="24"/>
          <w:szCs w:val="24"/>
          <w:lang w:val="en-GB"/>
        </w:rPr>
        <w:t>rationale</w:t>
      </w:r>
      <w:r w:rsidR="00BE72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F225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F2258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but it has also been 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>disconnected</w:t>
      </w:r>
      <w:r w:rsidR="001665DE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81328C">
        <w:rPr>
          <w:rFonts w:ascii="Times New Roman" w:hAnsi="Times New Roman" w:cs="Times New Roman"/>
          <w:sz w:val="24"/>
          <w:szCs w:val="24"/>
          <w:lang w:val="en-GB"/>
        </w:rPr>
        <w:t xml:space="preserve">m. 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>As early as in</w:t>
      </w:r>
      <w:r w:rsidR="001665DE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the 19th century onwards, the cult of progress and industry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 xml:space="preserve"> --which has been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studied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 xml:space="preserve"> thoroughly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renewed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>--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paved the way for a seculari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ed eschatology that some t</w:t>
      </w:r>
      <w:r w:rsidR="00436396">
        <w:rPr>
          <w:rFonts w:ascii="Times New Roman" w:hAnsi="Times New Roman" w:cs="Times New Roman"/>
          <w:sz w:val="24"/>
          <w:szCs w:val="24"/>
          <w:lang w:val="en-GB"/>
        </w:rPr>
        <w:t>hinkers at the turn of the 20</w:t>
      </w:r>
      <w:r w:rsidR="00436396" w:rsidRPr="0043639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436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century 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5DE">
        <w:rPr>
          <w:rFonts w:ascii="Times New Roman" w:hAnsi="Times New Roman" w:cs="Times New Roman"/>
          <w:sz w:val="24"/>
          <w:szCs w:val="24"/>
          <w:lang w:val="en-GB"/>
        </w:rPr>
        <w:t>magnify for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their hope in the advent of socialism and </w:t>
      </w:r>
      <w:r w:rsidR="00E87146">
        <w:rPr>
          <w:rFonts w:ascii="Times New Roman" w:hAnsi="Times New Roman" w:cs="Times New Roman"/>
          <w:sz w:val="24"/>
          <w:szCs w:val="24"/>
          <w:lang w:val="en-GB"/>
        </w:rPr>
        <w:t xml:space="preserve">of a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society</w:t>
      </w:r>
      <w:r w:rsidR="00E87146">
        <w:rPr>
          <w:rFonts w:ascii="Times New Roman" w:hAnsi="Times New Roman" w:cs="Times New Roman"/>
          <w:sz w:val="24"/>
          <w:szCs w:val="24"/>
          <w:lang w:val="en-GB"/>
        </w:rPr>
        <w:t xml:space="preserve"> emancipated by labour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13C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Critical and distanced analyses </w:t>
      </w:r>
      <w:r w:rsidR="00E87146">
        <w:rPr>
          <w:rFonts w:ascii="Times New Roman" w:hAnsi="Times New Roman" w:cs="Times New Roman"/>
          <w:sz w:val="24"/>
          <w:szCs w:val="24"/>
          <w:lang w:val="en-GB"/>
        </w:rPr>
        <w:t xml:space="preserve">elaborated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>in the 20</w:t>
      </w:r>
      <w:r w:rsidR="002B70C1" w:rsidRPr="002B7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century, whether by Lynn White, David Noble or Pierre Musso, highlight the dogmatic value of the </w:t>
      </w:r>
      <w:r w:rsidR="004863CB" w:rsidRPr="002B70C1">
        <w:rPr>
          <w:rFonts w:ascii="Times New Roman" w:hAnsi="Times New Roman" w:cs="Times New Roman"/>
          <w:sz w:val="24"/>
          <w:szCs w:val="24"/>
          <w:lang w:val="en-GB"/>
        </w:rPr>
        <w:t>sacrali</w:t>
      </w:r>
      <w:r w:rsidR="00E87146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4863CB" w:rsidRPr="002B70C1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of progress and </w:t>
      </w:r>
      <w:r w:rsidR="00E87146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E87146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0C1" w:rsidRPr="002B70C1">
        <w:rPr>
          <w:rFonts w:ascii="Times New Roman" w:hAnsi="Times New Roman" w:cs="Times New Roman"/>
          <w:sz w:val="24"/>
          <w:szCs w:val="24"/>
          <w:lang w:val="en-GB"/>
        </w:rPr>
        <w:t xml:space="preserve">blinding effect. These approaches are currently subject to several types of questioning. 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t xml:space="preserve">How does the philosophy of </w:t>
      </w:r>
      <w:r w:rsidR="00E87146">
        <w:rPr>
          <w:rFonts w:ascii="Times New Roman" w:hAnsi="Times New Roman" w:cs="Times New Roman"/>
          <w:sz w:val="24"/>
          <w:szCs w:val="24"/>
          <w:lang w:val="en-GB"/>
        </w:rPr>
        <w:t>techniques</w:t>
      </w:r>
      <w:r w:rsidR="00E87146" w:rsidRPr="00AC79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136F" w:rsidRPr="00AC7971">
        <w:rPr>
          <w:rFonts w:ascii="Times New Roman" w:hAnsi="Times New Roman" w:cs="Times New Roman"/>
          <w:sz w:val="24"/>
          <w:szCs w:val="24"/>
          <w:lang w:val="en-GB"/>
        </w:rPr>
        <w:t>analyse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t xml:space="preserve"> these shift</w:t>
      </w:r>
      <w:r w:rsidR="00E87146">
        <w:rPr>
          <w:rFonts w:ascii="Times New Roman" w:hAnsi="Times New Roman" w:cs="Times New Roman"/>
          <w:sz w:val="24"/>
          <w:szCs w:val="24"/>
          <w:lang w:val="en-GB"/>
        </w:rPr>
        <w:t>ing movements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t xml:space="preserve"> between religion and </w:t>
      </w:r>
      <w:r w:rsidR="00E87146">
        <w:rPr>
          <w:rFonts w:ascii="Times New Roman" w:hAnsi="Times New Roman" w:cs="Times New Roman"/>
          <w:sz w:val="24"/>
          <w:szCs w:val="24"/>
          <w:lang w:val="en-GB"/>
        </w:rPr>
        <w:t>technique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t xml:space="preserve">? Should we follow Gilbert 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lastRenderedPageBreak/>
        <w:t>Simondon and his definitio</w:t>
      </w:r>
      <w:r w:rsidR="007D67FE">
        <w:rPr>
          <w:rFonts w:ascii="Times New Roman" w:hAnsi="Times New Roman" w:cs="Times New Roman"/>
          <w:sz w:val="24"/>
          <w:szCs w:val="24"/>
          <w:lang w:val="en-GB"/>
        </w:rPr>
        <w:t>n of universalism, as a shared “primitive” reality, technique being “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t>ev</w:t>
      </w:r>
      <w:r w:rsidR="007D67FE">
        <w:rPr>
          <w:rFonts w:ascii="Times New Roman" w:hAnsi="Times New Roman" w:cs="Times New Roman"/>
          <w:sz w:val="24"/>
          <w:szCs w:val="24"/>
          <w:lang w:val="en-GB"/>
        </w:rPr>
        <w:t>en more primitive than religion”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t xml:space="preserve">, because </w:t>
      </w:r>
      <w:r w:rsidR="009D36D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t xml:space="preserve">its original, consubstantial </w:t>
      </w:r>
      <w:r w:rsidR="009D36D5">
        <w:rPr>
          <w:rFonts w:ascii="Times New Roman" w:hAnsi="Times New Roman" w:cs="Times New Roman"/>
          <w:sz w:val="24"/>
          <w:szCs w:val="24"/>
          <w:lang w:val="en-GB"/>
        </w:rPr>
        <w:t xml:space="preserve">relationship </w:t>
      </w:r>
      <w:r w:rsidR="00AC7971" w:rsidRPr="00AC7971">
        <w:rPr>
          <w:rFonts w:ascii="Times New Roman" w:hAnsi="Times New Roman" w:cs="Times New Roman"/>
          <w:sz w:val="24"/>
          <w:szCs w:val="24"/>
          <w:lang w:val="en-GB"/>
        </w:rPr>
        <w:t xml:space="preserve">with life? </w:t>
      </w:r>
      <w:r w:rsidR="00AC7971" w:rsidRPr="00DD6FA6">
        <w:rPr>
          <w:rFonts w:ascii="Times New Roman" w:hAnsi="Times New Roman" w:cs="Times New Roman"/>
          <w:sz w:val="24"/>
          <w:szCs w:val="24"/>
          <w:lang w:val="en-GB"/>
        </w:rPr>
        <w:t>What about anthropologists?</w:t>
      </w:r>
      <w:r w:rsidR="00DD6F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Another set of questions </w:t>
      </w:r>
      <w:r w:rsidR="007A0F4F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94014F">
        <w:rPr>
          <w:rFonts w:ascii="Times New Roman" w:hAnsi="Times New Roman" w:cs="Times New Roman"/>
          <w:sz w:val="24"/>
          <w:szCs w:val="24"/>
          <w:lang w:val="en-GB"/>
        </w:rPr>
        <w:t xml:space="preserve">he current uses of </w:t>
      </w:r>
      <w:r w:rsidR="007A0F4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4014F">
        <w:rPr>
          <w:rFonts w:ascii="Times New Roman" w:hAnsi="Times New Roman" w:cs="Times New Roman"/>
          <w:sz w:val="24"/>
          <w:szCs w:val="24"/>
          <w:lang w:val="en-GB"/>
        </w:rPr>
        <w:t>theoretical analys</w:t>
      </w:r>
      <w:r w:rsidR="007A0F4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4014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 of the link betwee</w:t>
      </w:r>
      <w:r w:rsidR="0094014F">
        <w:rPr>
          <w:rFonts w:ascii="Times New Roman" w:hAnsi="Times New Roman" w:cs="Times New Roman"/>
          <w:sz w:val="24"/>
          <w:szCs w:val="24"/>
          <w:lang w:val="en-GB"/>
        </w:rPr>
        <w:t>n technology and religion. The “Needham question”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 made religion </w:t>
      </w:r>
      <w:r w:rsidR="00347436">
        <w:rPr>
          <w:rFonts w:ascii="Times New Roman" w:hAnsi="Times New Roman" w:cs="Times New Roman"/>
          <w:sz w:val="24"/>
          <w:szCs w:val="24"/>
          <w:lang w:val="en-GB"/>
        </w:rPr>
        <w:t>a key argument to explain China’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s so-called </w:t>
      </w:r>
      <w:r w:rsidR="00347436">
        <w:rPr>
          <w:rFonts w:ascii="Times New Roman" w:hAnsi="Times New Roman" w:cs="Times New Roman"/>
          <w:sz w:val="24"/>
          <w:szCs w:val="24"/>
          <w:lang w:val="en-GB"/>
        </w:rPr>
        <w:t>decline from the Song</w:t>
      </w:r>
      <w:r w:rsidR="007A0F4F">
        <w:rPr>
          <w:rFonts w:ascii="Times New Roman" w:hAnsi="Times New Roman" w:cs="Times New Roman"/>
          <w:sz w:val="24"/>
          <w:szCs w:val="24"/>
          <w:lang w:val="en-GB"/>
        </w:rPr>
        <w:t xml:space="preserve"> dynasty onwards</w:t>
      </w:r>
      <w:r w:rsidR="0034743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7A0F4F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 theme</w:t>
      </w:r>
      <w:r w:rsidR="003E7FF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E7FFD" w:rsidRPr="0094014F">
        <w:rPr>
          <w:rFonts w:ascii="Times New Roman" w:hAnsi="Times New Roman" w:cs="Times New Roman"/>
          <w:sz w:val="24"/>
          <w:szCs w:val="24"/>
          <w:lang w:val="en-GB"/>
        </w:rPr>
        <w:t>as well as techniques</w:t>
      </w:r>
      <w:r w:rsidR="003E7FFD">
        <w:rPr>
          <w:rFonts w:ascii="Times New Roman" w:hAnsi="Times New Roman" w:cs="Times New Roman"/>
          <w:sz w:val="24"/>
          <w:szCs w:val="24"/>
          <w:lang w:val="en-GB"/>
        </w:rPr>
        <w:t xml:space="preserve"> more broadly</w:t>
      </w:r>
      <w:r w:rsidR="003E7FFD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E7FFD">
        <w:rPr>
          <w:rFonts w:ascii="Times New Roman" w:hAnsi="Times New Roman" w:cs="Times New Roman"/>
          <w:sz w:val="24"/>
          <w:szCs w:val="24"/>
          <w:lang w:val="en-GB"/>
        </w:rPr>
        <w:t>is absent from Kenneth Pomeranz’</w:t>
      </w:r>
      <w:r w:rsidR="007A0F4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E7FFD">
        <w:rPr>
          <w:rFonts w:ascii="Times New Roman" w:hAnsi="Times New Roman" w:cs="Times New Roman"/>
          <w:sz w:val="24"/>
          <w:szCs w:val="24"/>
          <w:lang w:val="en-GB"/>
        </w:rPr>
        <w:t xml:space="preserve"> demonstration but 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>it has been raised afresh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 by historians concerned 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E46D72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>broaden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>ing the scope of</w:t>
      </w:r>
      <w:r w:rsidR="0094014F" w:rsidRPr="0094014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 xml:space="preserve">analysis </w:t>
      </w:r>
      <w:r w:rsidR="00D17B62">
        <w:rPr>
          <w:rFonts w:ascii="Times New Roman" w:hAnsi="Times New Roman" w:cs="Times New Roman"/>
          <w:sz w:val="24"/>
          <w:szCs w:val="24"/>
          <w:lang w:val="en-GB"/>
        </w:rPr>
        <w:t>of the Great D</w:t>
      </w:r>
      <w:r w:rsidR="00E20CFA">
        <w:rPr>
          <w:rFonts w:ascii="Times New Roman" w:hAnsi="Times New Roman" w:cs="Times New Roman"/>
          <w:sz w:val="24"/>
          <w:szCs w:val="24"/>
          <w:lang w:val="en-GB"/>
        </w:rPr>
        <w:t xml:space="preserve">ivergence. 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>Which has ignited</w:t>
      </w:r>
      <w:r w:rsidR="00D17B62" w:rsidRPr="008C394A">
        <w:rPr>
          <w:rFonts w:ascii="Times New Roman" w:hAnsi="Times New Roman" w:cs="Times New Roman"/>
          <w:sz w:val="24"/>
          <w:szCs w:val="24"/>
          <w:lang w:val="en-GB"/>
        </w:rPr>
        <w:t xml:space="preserve"> debate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17B62" w:rsidRPr="008C394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C394A" w:rsidRPr="008C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E46D72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macro-historical perspectives and generalizations be adopted to </w:t>
      </w:r>
      <w:r w:rsidR="00846981">
        <w:rPr>
          <w:rFonts w:ascii="Times New Roman" w:hAnsi="Times New Roman" w:cs="Times New Roman"/>
          <w:sz w:val="24"/>
          <w:szCs w:val="24"/>
          <w:lang w:val="en-GB"/>
        </w:rPr>
        <w:t>analyse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interferences between technology and religion? 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E46D72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we compare religious systems, cosmogonies or even temporal constructions on a global scale? Finally, what is meant by religion and </w:t>
      </w:r>
      <w:r w:rsidR="008C394A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B0337">
        <w:rPr>
          <w:rFonts w:ascii="Times New Roman" w:hAnsi="Times New Roman" w:cs="Times New Roman"/>
          <w:sz w:val="24"/>
          <w:szCs w:val="24"/>
          <w:lang w:val="en-GB"/>
        </w:rPr>
        <w:t>technique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>? Should</w:t>
      </w:r>
      <w:r w:rsidR="008C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46D72">
        <w:rPr>
          <w:rFonts w:ascii="Times New Roman" w:hAnsi="Times New Roman" w:cs="Times New Roman"/>
          <w:sz w:val="24"/>
          <w:szCs w:val="24"/>
          <w:lang w:val="en-GB"/>
        </w:rPr>
        <w:t xml:space="preserve"> instead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46D72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evoke cosmogonies, representations of the universe, 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its construction and </w:t>
      </w:r>
      <w:r w:rsidR="008C394A">
        <w:rPr>
          <w:rFonts w:ascii="Times New Roman" w:hAnsi="Times New Roman" w:cs="Times New Roman"/>
          <w:sz w:val="24"/>
          <w:szCs w:val="24"/>
          <w:lang w:val="en-GB"/>
        </w:rPr>
        <w:t>harmony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and should we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 xml:space="preserve"> not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disconnect the techniques from an economic (economist) 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per</w:t>
      </w:r>
      <w:r w:rsidR="000F3B6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pective</w:t>
      </w:r>
      <w:r w:rsidR="00FF5C6A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that associates them with the search for competitive advantages and profit, notions 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quite alien to</w:t>
      </w:r>
      <w:r w:rsidR="008C394A">
        <w:rPr>
          <w:rFonts w:ascii="Times New Roman" w:hAnsi="Times New Roman" w:cs="Times New Roman"/>
          <w:sz w:val="24"/>
          <w:szCs w:val="24"/>
          <w:lang w:val="en-GB"/>
        </w:rPr>
        <w:t xml:space="preserve"> the expectations placed in “effective action”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in many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846981" w:rsidRPr="00846981">
        <w:rPr>
          <w:rFonts w:ascii="Times New Roman" w:hAnsi="Times New Roman" w:cs="Times New Roman"/>
          <w:sz w:val="24"/>
          <w:szCs w:val="24"/>
          <w:lang w:val="en-GB"/>
        </w:rPr>
        <w:t xml:space="preserve"> civilization?</w:t>
      </w:r>
    </w:p>
    <w:p w14:paraId="191F15B0" w14:textId="2F5F1625" w:rsidR="004954FD" w:rsidRPr="004954FD" w:rsidRDefault="008D7378" w:rsidP="0003241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37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This leads us to a second part of the reflection: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interferences between techniques</w:t>
      </w:r>
      <w:r w:rsidRPr="008D737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religion in the worlds of practice.</w:t>
      </w:r>
      <w:r w:rsidRPr="008D7378">
        <w:rPr>
          <w:rFonts w:ascii="Times New Roman" w:hAnsi="Times New Roman" w:cs="Times New Roman"/>
          <w:sz w:val="24"/>
          <w:szCs w:val="24"/>
          <w:lang w:val="en-GB"/>
        </w:rPr>
        <w:t xml:space="preserve"> The mat</w:t>
      </w:r>
      <w:r w:rsidR="00FD575B">
        <w:rPr>
          <w:rFonts w:ascii="Times New Roman" w:hAnsi="Times New Roman" w:cs="Times New Roman"/>
          <w:sz w:val="24"/>
          <w:szCs w:val="24"/>
          <w:lang w:val="en-GB"/>
        </w:rPr>
        <w:t xml:space="preserve">erial dimension of </w:t>
      </w:r>
      <w:r w:rsidRPr="008D7378">
        <w:rPr>
          <w:rFonts w:ascii="Times New Roman" w:hAnsi="Times New Roman" w:cs="Times New Roman"/>
          <w:sz w:val="24"/>
          <w:szCs w:val="24"/>
          <w:lang w:val="en-GB"/>
        </w:rPr>
        <w:t xml:space="preserve">techniques in religions is at the heart of 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much recent research</w:t>
      </w:r>
      <w:r w:rsidR="00613B06">
        <w:rPr>
          <w:rFonts w:ascii="Times New Roman" w:hAnsi="Times New Roman" w:cs="Times New Roman"/>
          <w:sz w:val="24"/>
          <w:szCs w:val="24"/>
          <w:lang w:val="en-GB"/>
        </w:rPr>
        <w:t xml:space="preserve"> which, far from </w:t>
      </w:r>
      <w:r w:rsidR="00CB14DD">
        <w:rPr>
          <w:rFonts w:ascii="Times New Roman" w:hAnsi="Times New Roman" w:cs="Times New Roman"/>
          <w:sz w:val="24"/>
          <w:szCs w:val="24"/>
          <w:lang w:val="en-GB"/>
        </w:rPr>
        <w:t>adopting</w:t>
      </w:r>
      <w:r w:rsidRPr="008D7378">
        <w:rPr>
          <w:rFonts w:ascii="Times New Roman" w:hAnsi="Times New Roman" w:cs="Times New Roman"/>
          <w:sz w:val="24"/>
          <w:szCs w:val="24"/>
          <w:lang w:val="en-GB"/>
        </w:rPr>
        <w:t xml:space="preserve"> a level of generality as 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it often used to</w:t>
      </w:r>
      <w:r w:rsidRPr="008D73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F5C6A">
        <w:rPr>
          <w:rFonts w:ascii="Times New Roman" w:hAnsi="Times New Roman" w:cs="Times New Roman"/>
          <w:sz w:val="24"/>
          <w:szCs w:val="24"/>
          <w:lang w:val="en-GB"/>
        </w:rPr>
        <w:t>adopts</w:t>
      </w:r>
      <w:r w:rsidR="00FF5C6A" w:rsidRPr="008D73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D7378">
        <w:rPr>
          <w:rFonts w:ascii="Times New Roman" w:hAnsi="Times New Roman" w:cs="Times New Roman"/>
          <w:sz w:val="24"/>
          <w:szCs w:val="24"/>
          <w:lang w:val="en-GB"/>
        </w:rPr>
        <w:t>an anthropological and e</w:t>
      </w:r>
      <w:r w:rsidR="00EA3144">
        <w:rPr>
          <w:rFonts w:ascii="Times New Roman" w:hAnsi="Times New Roman" w:cs="Times New Roman"/>
          <w:sz w:val="24"/>
          <w:szCs w:val="24"/>
          <w:lang w:val="en-GB"/>
        </w:rPr>
        <w:t>thnological point of view (rituals</w:t>
      </w:r>
      <w:r w:rsidRPr="008D7378">
        <w:rPr>
          <w:rFonts w:ascii="Times New Roman" w:hAnsi="Times New Roman" w:cs="Times New Roman"/>
          <w:sz w:val="24"/>
          <w:szCs w:val="24"/>
          <w:lang w:val="en-GB"/>
        </w:rPr>
        <w:t>, magic, ceremonies, conventual craft, etc.).</w:t>
      </w:r>
      <w:r w:rsidR="008A2E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02E">
        <w:rPr>
          <w:rFonts w:ascii="Times New Roman" w:hAnsi="Times New Roman" w:cs="Times New Roman"/>
          <w:sz w:val="24"/>
          <w:szCs w:val="24"/>
          <w:lang w:val="en-GB"/>
        </w:rPr>
        <w:t>Whilst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the religious universe is often considered in the light of spirituality alone 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 xml:space="preserve">-- that as the case 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for example 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234C20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 xml:space="preserve">European 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>scholars after the Reformation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 xml:space="preserve"> --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many studies 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>highlight</w:t>
      </w:r>
      <w:r w:rsidR="00234C20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>the spirituality of techniques on the one hand, and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 xml:space="preserve">on the other hand, 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the importance of objects, gestures, techniques and even their codification in religious practice. These relationships also 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>entail the production of</w:t>
      </w:r>
      <w:r w:rsidR="00234C20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images and 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>performances (see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 xml:space="preserve">early modern 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>Christianity</w:t>
      </w:r>
      <w:r w:rsidR="00234C2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. Technical </w:t>
      </w:r>
      <w:r w:rsidR="004F3895" w:rsidRPr="0087302E">
        <w:rPr>
          <w:rFonts w:ascii="Times New Roman" w:hAnsi="Times New Roman" w:cs="Times New Roman"/>
          <w:sz w:val="24"/>
          <w:szCs w:val="24"/>
          <w:lang w:val="en-GB"/>
        </w:rPr>
        <w:t>artefacts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can represent religious ideas and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 conversely, religious imagery can represe</w:t>
      </w:r>
      <w:r w:rsidR="008A2E1A">
        <w:rPr>
          <w:rFonts w:ascii="Times New Roman" w:hAnsi="Times New Roman" w:cs="Times New Roman"/>
          <w:sz w:val="24"/>
          <w:szCs w:val="24"/>
          <w:lang w:val="en-GB"/>
        </w:rPr>
        <w:t>nt techniques and instruments. The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 xml:space="preserve">y differ from the 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 xml:space="preserve">great narratives and theorizations </w:t>
      </w:r>
      <w:r w:rsidR="006E4B91">
        <w:rPr>
          <w:rFonts w:ascii="Times New Roman" w:hAnsi="Times New Roman" w:cs="Times New Roman"/>
          <w:sz w:val="24"/>
          <w:szCs w:val="24"/>
          <w:lang w:val="en-GB"/>
        </w:rPr>
        <w:t xml:space="preserve">for they tap into 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87302E" w:rsidRPr="0087302E">
        <w:rPr>
          <w:rFonts w:ascii="Times New Roman" w:hAnsi="Times New Roman" w:cs="Times New Roman"/>
          <w:sz w:val="24"/>
          <w:szCs w:val="24"/>
          <w:lang w:val="en-GB"/>
        </w:rPr>
        <w:t>sources.</w:t>
      </w:r>
      <w:r w:rsidR="001978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DAD" w:rsidRPr="00FD1DAD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 xml:space="preserve">are the </w:t>
      </w:r>
      <w:r w:rsidR="00FD1DAD" w:rsidRPr="00FD1DAD">
        <w:rPr>
          <w:rFonts w:ascii="Times New Roman" w:hAnsi="Times New Roman" w:cs="Times New Roman"/>
          <w:sz w:val="24"/>
          <w:szCs w:val="24"/>
          <w:lang w:val="en-GB"/>
        </w:rPr>
        <w:t xml:space="preserve">archives, objects, images for this material history of religions and techniques? What conceptual tools and methods of analysis are 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>employed to conduct this study</w:t>
      </w:r>
      <w:r w:rsidR="00B36A8D" w:rsidRPr="00FD1D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DAD" w:rsidRPr="00FD1DAD">
        <w:rPr>
          <w:rFonts w:ascii="Times New Roman" w:hAnsi="Times New Roman" w:cs="Times New Roman"/>
          <w:sz w:val="24"/>
          <w:szCs w:val="24"/>
          <w:lang w:val="en-GB"/>
        </w:rPr>
        <w:t>at the crossroads of the history of t</w:t>
      </w:r>
      <w:r w:rsidR="00CA2726">
        <w:rPr>
          <w:rFonts w:ascii="Times New Roman" w:hAnsi="Times New Roman" w:cs="Times New Roman"/>
          <w:sz w:val="24"/>
          <w:szCs w:val="24"/>
          <w:lang w:val="en-GB"/>
        </w:rPr>
        <w:t>echniques</w:t>
      </w:r>
      <w:r w:rsidR="00FD1DAD" w:rsidRPr="00FD1DA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FD1DAD" w:rsidRPr="00FD1DAD">
        <w:rPr>
          <w:rFonts w:ascii="Times New Roman" w:hAnsi="Times New Roman" w:cs="Times New Roman"/>
          <w:sz w:val="24"/>
          <w:szCs w:val="24"/>
          <w:lang w:val="en-GB"/>
        </w:rPr>
        <w:t xml:space="preserve">the social sciences? Can these approaches renew generalizations on a global scale, through a localized analysis as 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>it appears to be the case</w:t>
      </w:r>
      <w:r w:rsidR="00FD1DAD" w:rsidRPr="00FD1DAD">
        <w:rPr>
          <w:rFonts w:ascii="Times New Roman" w:hAnsi="Times New Roman" w:cs="Times New Roman"/>
          <w:sz w:val="24"/>
          <w:szCs w:val="24"/>
          <w:lang w:val="en-GB"/>
        </w:rPr>
        <w:t xml:space="preserve"> for Buddhist temples in China? Can they also 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>allow for a</w:t>
      </w:r>
      <w:r w:rsidR="00FD1DAD" w:rsidRPr="00FD1D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56FA">
        <w:rPr>
          <w:rFonts w:ascii="Times New Roman" w:hAnsi="Times New Roman" w:cs="Times New Roman"/>
          <w:sz w:val="24"/>
          <w:szCs w:val="24"/>
          <w:lang w:val="en-GB"/>
        </w:rPr>
        <w:t>reframing</w:t>
      </w:r>
      <w:r w:rsidR="00B36A8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B36A8D" w:rsidRPr="00FD1D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DAD" w:rsidRPr="00FD1DAD">
        <w:rPr>
          <w:rFonts w:ascii="Times New Roman" w:hAnsi="Times New Roman" w:cs="Times New Roman"/>
          <w:sz w:val="24"/>
          <w:szCs w:val="24"/>
          <w:lang w:val="en-GB"/>
        </w:rPr>
        <w:t>the question of cosmogonies in a more concrete way?</w:t>
      </w:r>
      <w:r w:rsidR="004479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>In this sense, what place should be given to magic and according to which definitions,</w:t>
      </w:r>
      <w:r w:rsidR="000E4492">
        <w:rPr>
          <w:rFonts w:ascii="Times New Roman" w:hAnsi="Times New Roman" w:cs="Times New Roman"/>
          <w:sz w:val="24"/>
          <w:szCs w:val="24"/>
          <w:lang w:val="en-GB"/>
        </w:rPr>
        <w:t xml:space="preserve"> if </w:t>
      </w:r>
      <w:r w:rsidR="002656FA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 comparative perspective</w:t>
      </w:r>
      <w:r w:rsidR="002656FA">
        <w:rPr>
          <w:rFonts w:ascii="Times New Roman" w:hAnsi="Times New Roman" w:cs="Times New Roman"/>
          <w:sz w:val="24"/>
          <w:szCs w:val="24"/>
          <w:lang w:val="en-GB"/>
        </w:rPr>
        <w:t xml:space="preserve"> should be implemented</w:t>
      </w:r>
      <w:r w:rsidR="006157EC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bookmarkStart w:id="0" w:name="_GoBack"/>
      <w:bookmarkEnd w:id="0"/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Finally, intercultural circulation of </w:t>
      </w:r>
      <w:r w:rsidR="004954FD">
        <w:rPr>
          <w:rFonts w:ascii="Times New Roman" w:hAnsi="Times New Roman" w:cs="Times New Roman"/>
          <w:sz w:val="24"/>
          <w:szCs w:val="24"/>
          <w:lang w:val="en-GB"/>
        </w:rPr>
        <w:t xml:space="preserve">rituals 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B60240" w:rsidRPr="004954FD">
        <w:rPr>
          <w:rFonts w:ascii="Times New Roman" w:hAnsi="Times New Roman" w:cs="Times New Roman"/>
          <w:sz w:val="24"/>
          <w:szCs w:val="24"/>
          <w:lang w:val="en-GB"/>
        </w:rPr>
        <w:t>artefacts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>, dynamics of borrowing and interactions between religious and technical circulations</w:t>
      </w:r>
      <w:r w:rsidR="002656FA">
        <w:rPr>
          <w:rFonts w:ascii="Times New Roman" w:hAnsi="Times New Roman" w:cs="Times New Roman"/>
          <w:sz w:val="24"/>
          <w:szCs w:val="24"/>
          <w:lang w:val="en-GB"/>
        </w:rPr>
        <w:t xml:space="preserve"> should also be tackled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>. The theme is vast and also questions the relationship of religious communities to tech</w:t>
      </w:r>
      <w:r w:rsidR="004272D0">
        <w:rPr>
          <w:rFonts w:ascii="Times New Roman" w:hAnsi="Times New Roman" w:cs="Times New Roman"/>
          <w:sz w:val="24"/>
          <w:szCs w:val="24"/>
          <w:lang w:val="en-GB"/>
        </w:rPr>
        <w:t>niques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93551">
        <w:rPr>
          <w:rFonts w:ascii="Times New Roman" w:hAnsi="Times New Roman" w:cs="Times New Roman"/>
          <w:sz w:val="24"/>
          <w:szCs w:val="24"/>
          <w:lang w:val="en-GB"/>
        </w:rPr>
        <w:t>be they their</w:t>
      </w:r>
      <w:r w:rsidR="00267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traditional assignments (including the negation of the relationship to </w:t>
      </w:r>
      <w:r w:rsidR="0083062E">
        <w:rPr>
          <w:rFonts w:ascii="Times New Roman" w:hAnsi="Times New Roman" w:cs="Times New Roman"/>
          <w:sz w:val="24"/>
          <w:szCs w:val="24"/>
          <w:lang w:val="en-GB"/>
        </w:rPr>
        <w:t>techniques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), their questioning, </w:t>
      </w:r>
      <w:r w:rsidR="007935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>com</w:t>
      </w:r>
      <w:r w:rsidR="00547355">
        <w:rPr>
          <w:rFonts w:ascii="Times New Roman" w:hAnsi="Times New Roman" w:cs="Times New Roman"/>
          <w:sz w:val="24"/>
          <w:szCs w:val="24"/>
          <w:lang w:val="en-GB"/>
        </w:rPr>
        <w:t xml:space="preserve">munity claims </w:t>
      </w:r>
      <w:r w:rsidR="00793551">
        <w:rPr>
          <w:rFonts w:ascii="Times New Roman" w:hAnsi="Times New Roman" w:cs="Times New Roman"/>
          <w:sz w:val="24"/>
          <w:szCs w:val="24"/>
          <w:lang w:val="en-GB"/>
        </w:rPr>
        <w:t xml:space="preserve">made by means of </w:t>
      </w:r>
      <w:r w:rsidR="00547355">
        <w:rPr>
          <w:rFonts w:ascii="Times New Roman" w:hAnsi="Times New Roman" w:cs="Times New Roman"/>
          <w:sz w:val="24"/>
          <w:szCs w:val="24"/>
          <w:lang w:val="en-GB"/>
        </w:rPr>
        <w:t>techniques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, or the role of </w:t>
      </w:r>
      <w:r w:rsidR="006A5827">
        <w:rPr>
          <w:rFonts w:ascii="Times New Roman" w:hAnsi="Times New Roman" w:cs="Times New Roman"/>
          <w:sz w:val="24"/>
          <w:szCs w:val="24"/>
          <w:lang w:val="en-GB"/>
        </w:rPr>
        <w:t>brokers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, such as Jesuits (and their converts), in Asia and South America, and many other less visible intermediaries, </w:t>
      </w:r>
      <w:r w:rsidR="00793551"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="00793551" w:rsidRPr="00495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54FD" w:rsidRPr="004954FD">
        <w:rPr>
          <w:rFonts w:ascii="Times New Roman" w:hAnsi="Times New Roman" w:cs="Times New Roman"/>
          <w:sz w:val="24"/>
          <w:szCs w:val="24"/>
          <w:lang w:val="en-GB"/>
        </w:rPr>
        <w:t>are beginning to be identified.</w:t>
      </w:r>
    </w:p>
    <w:p w14:paraId="588FCC04" w14:textId="7769ADD1" w:rsidR="008D14B5" w:rsidRPr="008D14B5" w:rsidRDefault="008D14B5" w:rsidP="0026199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answer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these research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93551">
        <w:rPr>
          <w:rFonts w:ascii="Times New Roman" w:eastAsia="Times New Roman" w:hAnsi="Times New Roman" w:cs="Times New Roman"/>
          <w:sz w:val="24"/>
          <w:szCs w:val="24"/>
          <w:lang w:val="en-GB"/>
        </w:rPr>
        <w:t>questions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793551">
        <w:rPr>
          <w:rFonts w:ascii="Times New Roman" w:eastAsia="Times New Roman" w:hAnsi="Times New Roman" w:cs="Times New Roman"/>
          <w:sz w:val="24"/>
          <w:szCs w:val="24"/>
          <w:lang w:val="en-GB"/>
        </w:rPr>
        <w:t>there is no restriction to one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specific religion, </w:t>
      </w:r>
      <w:r w:rsidR="00DA06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territory 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period. On the contrary, religions and cultural areas will be </w:t>
      </w:r>
      <w:r w:rsidR="00793551">
        <w:rPr>
          <w:rFonts w:ascii="Times New Roman" w:eastAsia="Times New Roman" w:hAnsi="Times New Roman" w:cs="Times New Roman"/>
          <w:sz w:val="24"/>
          <w:szCs w:val="24"/>
          <w:lang w:val="en-GB"/>
        </w:rPr>
        <w:t>mobilized</w:t>
      </w:r>
      <w:r w:rsidR="00793551"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>in their diversity in order to promote an inclusive conceptualization of the relationships between techniques and religions</w:t>
      </w:r>
      <w:r w:rsidR="00793551">
        <w:rPr>
          <w:rFonts w:ascii="Times New Roman" w:eastAsia="Times New Roman" w:hAnsi="Times New Roman" w:cs="Times New Roman"/>
          <w:sz w:val="24"/>
          <w:szCs w:val="24"/>
          <w:lang w:val="en-GB"/>
        </w:rPr>
        <w:t>. Special attention will be also paid to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developments and </w:t>
      </w:r>
      <w:r w:rsidR="006014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circulations 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work </w:t>
      </w:r>
      <w:r w:rsidR="00B5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across 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>time and space. It will be the contributors</w:t>
      </w:r>
      <w:r w:rsidR="00793551">
        <w:rPr>
          <w:rFonts w:ascii="Times New Roman" w:eastAsia="Times New Roman" w:hAnsi="Times New Roman" w:cs="Times New Roman"/>
          <w:sz w:val="24"/>
          <w:szCs w:val="24"/>
          <w:lang w:val="en-GB"/>
        </w:rPr>
        <w:t>’ task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define the frameworks and limits of these relationships, while highlighting the specific characteristics of the religions, </w:t>
      </w:r>
      <w:r w:rsidR="001A62C1"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>spirituality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or techniques </w:t>
      </w:r>
      <w:r w:rsidR="007C004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investigated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in order to foster collective reflection on these interactions and not to impose an a priori conception of their nature or forms. Finally, </w:t>
      </w:r>
      <w:r w:rsidR="007C00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even though 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symposium </w:t>
      </w:r>
      <w:r w:rsidR="00FE78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based 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 a historical approach, this call is open to </w:t>
      </w:r>
      <w:r w:rsidR="007C0040">
        <w:rPr>
          <w:rFonts w:ascii="Times New Roman" w:eastAsia="Times New Roman" w:hAnsi="Times New Roman" w:cs="Times New Roman"/>
          <w:sz w:val="24"/>
          <w:szCs w:val="24"/>
          <w:lang w:val="en-GB"/>
        </w:rPr>
        <w:t>papers</w:t>
      </w:r>
      <w:r w:rsidR="007C0040"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C00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from </w:t>
      </w:r>
      <w:r w:rsidR="003311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various disciplines </w:t>
      </w:r>
      <w:r w:rsidRPr="008D14B5">
        <w:rPr>
          <w:rFonts w:ascii="Times New Roman" w:eastAsia="Times New Roman" w:hAnsi="Times New Roman" w:cs="Times New Roman"/>
          <w:sz w:val="24"/>
          <w:szCs w:val="24"/>
          <w:lang w:val="en-GB"/>
        </w:rPr>
        <w:t>(anthropology, ethnology, sociology, philosophy, geography, economics).</w:t>
      </w:r>
    </w:p>
    <w:p w14:paraId="1F928F72" w14:textId="77777777" w:rsidR="001E7371" w:rsidRPr="008D14B5" w:rsidRDefault="001E7371" w:rsidP="0026199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95C1A9" w14:textId="6D71F65F" w:rsidR="009670C1" w:rsidRPr="003F15E2" w:rsidRDefault="003F15E2" w:rsidP="00967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Proposals should be </w:t>
      </w:r>
      <w:r w:rsidR="000874FD">
        <w:rPr>
          <w:rFonts w:ascii="Times New Roman" w:hAnsi="Times New Roman" w:cs="Times New Roman"/>
          <w:b/>
          <w:sz w:val="24"/>
          <w:szCs w:val="24"/>
          <w:lang w:val="en-GB"/>
        </w:rPr>
        <w:t>submitted</w:t>
      </w:r>
      <w:r w:rsidR="000874FD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F15E2">
        <w:rPr>
          <w:rFonts w:ascii="Times New Roman" w:hAnsi="Times New Roman" w:cs="Times New Roman"/>
          <w:b/>
          <w:sz w:val="24"/>
          <w:szCs w:val="24"/>
          <w:lang w:val="en-GB"/>
        </w:rPr>
        <w:t>by</w:t>
      </w:r>
      <w:r w:rsidR="00E64834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333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E64834" w:rsidRPr="003F15E2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Pr="003F15E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7E30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333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November 2019 to</w:t>
      </w:r>
      <w:r w:rsidR="009670C1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hyperlink r:id="rId4" w:history="1">
        <w:r w:rsidR="009670C1" w:rsidRPr="003F15E2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GB"/>
          </w:rPr>
          <w:t>liliane.perez@wanadoo.fr</w:t>
        </w:r>
      </w:hyperlink>
    </w:p>
    <w:p w14:paraId="1033418C" w14:textId="6C6BB498" w:rsidR="009670C1" w:rsidRPr="003F15E2" w:rsidRDefault="00C868B9" w:rsidP="00967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It is required to</w:t>
      </w:r>
      <w:r w:rsidR="003F15E2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join</w:t>
      </w:r>
      <w:r w:rsidR="009670C1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3F15E2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title of the </w:t>
      </w:r>
      <w:r w:rsidR="000874F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9670C1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abstract and </w:t>
      </w:r>
      <w:r w:rsidR="000874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="009670C1" w:rsidRPr="003F15E2">
        <w:rPr>
          <w:rFonts w:ascii="Times New Roman" w:hAnsi="Times New Roman" w:cs="Times New Roman"/>
          <w:b/>
          <w:sz w:val="24"/>
          <w:szCs w:val="24"/>
          <w:lang w:val="en-GB"/>
        </w:rPr>
        <w:t>CV.</w:t>
      </w:r>
    </w:p>
    <w:p w14:paraId="19664079" w14:textId="77777777" w:rsidR="009670C1" w:rsidRPr="003F15E2" w:rsidRDefault="003F15E2" w:rsidP="009670C1">
      <w:pPr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4"/>
          <w:szCs w:val="24"/>
          <w:lang w:val="en-GB"/>
        </w:rPr>
      </w:pPr>
      <w:r w:rsidRPr="003F15E2">
        <w:rPr>
          <w:rFonts w:ascii="Times New Roman" w:hAnsi="Times New Roman" w:cs="Times New Roman"/>
          <w:b/>
          <w:sz w:val="24"/>
          <w:szCs w:val="24"/>
          <w:lang w:val="en-GB"/>
        </w:rPr>
        <w:t>Languages</w:t>
      </w:r>
      <w:r w:rsidR="009670C1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3F15E2">
        <w:rPr>
          <w:rFonts w:ascii="Times New Roman" w:hAnsi="Times New Roman" w:cs="Times New Roman"/>
          <w:b/>
          <w:sz w:val="24"/>
          <w:szCs w:val="24"/>
          <w:lang w:val="en-GB"/>
        </w:rPr>
        <w:t>English and</w:t>
      </w:r>
      <w:r w:rsidR="009670C1" w:rsidRPr="003F1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F15E2">
        <w:rPr>
          <w:rFonts w:ascii="Times New Roman" w:hAnsi="Times New Roman" w:cs="Times New Roman"/>
          <w:b/>
          <w:sz w:val="24"/>
          <w:szCs w:val="24"/>
          <w:lang w:val="en-GB"/>
        </w:rPr>
        <w:t>French</w:t>
      </w:r>
      <w:r w:rsidR="009670C1" w:rsidRPr="003F15E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02C426AC" w14:textId="77777777" w:rsidR="009670C1" w:rsidRPr="003F15E2" w:rsidRDefault="009670C1" w:rsidP="002619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A0C3740" w14:textId="77777777" w:rsidR="001E7371" w:rsidRPr="003F15E2" w:rsidRDefault="001E7371" w:rsidP="002619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1B076E3" w14:textId="77777777" w:rsidR="00332E28" w:rsidRPr="005D0F52" w:rsidRDefault="003F15E2" w:rsidP="0026199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5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Executive committee</w:t>
      </w:r>
      <w:r w:rsidR="00332E28" w:rsidRPr="003F15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Guillaume Carnino (Univ.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of Technology,</w:t>
      </w:r>
      <w:r w:rsidR="00332E28" w:rsidRPr="003F15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Compiègne/COSTECH), Liliane Hilaire-Pérez (Univ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of</w:t>
      </w:r>
      <w:r w:rsidR="00332E28" w:rsidRPr="003F15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Paris/ICT-EHESS-CAK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/IUF</w:t>
      </w:r>
      <w:r w:rsidR="00332E28" w:rsidRPr="003F15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Leopoldo Iribarren (EHESS/ANHIMA), </w:t>
      </w:r>
      <w:r w:rsidR="00726529" w:rsidRPr="003F15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Chuan-Hui Mau (Univ. </w:t>
      </w:r>
      <w:r w:rsidR="00726529" w:rsidRPr="005D0F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Tsing Hua, Taïwan/ICT), </w:t>
      </w:r>
      <w:r w:rsidR="00332E28" w:rsidRPr="005D0F52">
        <w:rPr>
          <w:rFonts w:ascii="Times New Roman" w:eastAsia="Times New Roman" w:hAnsi="Times New Roman" w:cs="Times New Roman"/>
          <w:sz w:val="24"/>
          <w:szCs w:val="24"/>
          <w:lang w:val="en-GB"/>
        </w:rPr>
        <w:t>Evelyne Oliel-Grausz (Univ. Paris1/I</w:t>
      </w:r>
      <w:r w:rsidRPr="005D0F52">
        <w:rPr>
          <w:rFonts w:ascii="Times New Roman" w:eastAsia="Times New Roman" w:hAnsi="Times New Roman" w:cs="Times New Roman"/>
          <w:sz w:val="24"/>
          <w:szCs w:val="24"/>
          <w:lang w:val="en-GB"/>
        </w:rPr>
        <w:t>HMC), Sébastien Pautet (Univ. of</w:t>
      </w:r>
      <w:r w:rsidR="00332E28" w:rsidRPr="005D0F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Paris/ICT)</w:t>
      </w:r>
    </w:p>
    <w:p w14:paraId="69CD8468" w14:textId="77777777" w:rsidR="00E14D2E" w:rsidRPr="001E7371" w:rsidRDefault="00274793" w:rsidP="003867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Scientific committee</w:t>
      </w:r>
      <w:r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0565A3"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>Alain Arrault (EFEO</w:t>
      </w:r>
      <w:r w:rsidR="000565A3" w:rsidRPr="004A0ACC">
        <w:rPr>
          <w:rFonts w:ascii="Times New Roman" w:hAnsi="Times New Roman" w:cs="Times New Roman"/>
          <w:sz w:val="24"/>
          <w:szCs w:val="24"/>
          <w:lang w:val="en-GB"/>
        </w:rPr>
        <w:t>), Gianenrico Bernasconi (Un</w:t>
      </w:r>
      <w:r w:rsidRPr="004A0ACC">
        <w:rPr>
          <w:rFonts w:ascii="Times New Roman" w:hAnsi="Times New Roman" w:cs="Times New Roman"/>
          <w:sz w:val="24"/>
          <w:szCs w:val="24"/>
          <w:lang w:val="en-GB"/>
        </w:rPr>
        <w:t>iv. of</w:t>
      </w:r>
      <w:r w:rsidR="000565A3"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 Neuchâtel), </w:t>
      </w:r>
      <w:r w:rsidR="008B799C"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Cléo Carastro (EHESS/ANHIMA), </w:t>
      </w:r>
      <w:r w:rsidR="000565A3" w:rsidRPr="004A0ACC">
        <w:rPr>
          <w:rFonts w:ascii="Times New Roman" w:hAnsi="Times New Roman" w:cs="Times New Roman"/>
          <w:sz w:val="24"/>
          <w:szCs w:val="24"/>
          <w:lang w:val="en-GB" w:eastAsia="fr-FR"/>
        </w:rPr>
        <w:t>Charlotte de Castelnau (</w:t>
      </w:r>
      <w:r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>Univ. of</w:t>
      </w:r>
      <w:r w:rsidR="000565A3"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Paris/ICT), </w:t>
      </w:r>
      <w:r w:rsidR="00146945"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Philip Cho (Yonsei University, Underwood International College), </w:t>
      </w:r>
      <w:r w:rsidR="00566177"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Ludovic Coupaye (University College, Londres), </w:t>
      </w:r>
      <w:r w:rsidR="00874401"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>Karel Davids (</w:t>
      </w:r>
      <w:r w:rsidR="00874401" w:rsidRPr="004A0ACC">
        <w:rPr>
          <w:rStyle w:val="st"/>
          <w:rFonts w:ascii="Times New Roman" w:hAnsi="Times New Roman" w:cs="Times New Roman"/>
          <w:sz w:val="24"/>
          <w:szCs w:val="24"/>
          <w:lang w:val="en-GB"/>
        </w:rPr>
        <w:t>Vrije Universiteit Amsterdam)</w:t>
      </w:r>
      <w:r w:rsidR="00874401"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565A3" w:rsidRPr="004A0ACC">
        <w:rPr>
          <w:rFonts w:ascii="Times New Roman" w:hAnsi="Times New Roman" w:cs="Times New Roman"/>
          <w:sz w:val="24"/>
          <w:szCs w:val="24"/>
          <w:lang w:val="en-GB" w:eastAsia="fr-FR"/>
        </w:rPr>
        <w:t>Pierre-Antoine Fabre (EHESS/</w:t>
      </w:r>
      <w:r w:rsidR="00A76720" w:rsidRPr="004A0ACC">
        <w:rPr>
          <w:rFonts w:ascii="Times New Roman" w:hAnsi="Times New Roman" w:cs="Times New Roman"/>
          <w:sz w:val="24"/>
          <w:szCs w:val="24"/>
          <w:lang w:val="en-GB" w:eastAsia="fr-FR"/>
        </w:rPr>
        <w:t>CeSoR)</w:t>
      </w:r>
      <w:r w:rsidR="000565A3" w:rsidRPr="004A0ACC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, </w:t>
      </w:r>
      <w:r w:rsidR="008B799C" w:rsidRPr="004A0ACC">
        <w:rPr>
          <w:rFonts w:ascii="Times New Roman" w:hAnsi="Times New Roman" w:cs="Times New Roman"/>
          <w:sz w:val="24"/>
          <w:szCs w:val="24"/>
          <w:lang w:val="en-GB" w:eastAsia="fr-FR"/>
        </w:rPr>
        <w:t>Hélène Joubert (</w:t>
      </w:r>
      <w:r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Direction of </w:t>
      </w:r>
      <w:r w:rsidR="008B799C"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collections </w:t>
      </w:r>
      <w:r w:rsidRPr="004A0ACC">
        <w:rPr>
          <w:rFonts w:ascii="Times New Roman" w:hAnsi="Times New Roman" w:cs="Times New Roman"/>
          <w:sz w:val="24"/>
          <w:szCs w:val="24"/>
          <w:lang w:val="en-GB"/>
        </w:rPr>
        <w:t>for Africa</w:t>
      </w:r>
      <w:r w:rsidR="007774F4"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A0ACC">
        <w:rPr>
          <w:rFonts w:ascii="Times New Roman" w:hAnsi="Times New Roman" w:cs="Times New Roman"/>
          <w:sz w:val="24"/>
          <w:szCs w:val="24"/>
          <w:lang w:val="en-GB"/>
        </w:rPr>
        <w:t>Museum of</w:t>
      </w:r>
      <w:r w:rsidR="008B799C"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 Quai Branly-Jacques Chirac),</w:t>
      </w:r>
      <w:r w:rsidR="0053053C"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 Pierre Musso</w:t>
      </w:r>
      <w:r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 (Univ. of</w:t>
      </w:r>
      <w:r w:rsidR="00F54B6A"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3926" w:rsidRPr="004A0ACC">
        <w:rPr>
          <w:rFonts w:ascii="Times New Roman" w:hAnsi="Times New Roman" w:cs="Times New Roman"/>
          <w:sz w:val="24"/>
          <w:szCs w:val="24"/>
          <w:lang w:val="en-GB"/>
        </w:rPr>
        <w:t>Rennes</w:t>
      </w:r>
      <w:r w:rsidR="00354640" w:rsidRPr="004A0ACC">
        <w:rPr>
          <w:rFonts w:ascii="Times New Roman" w:hAnsi="Times New Roman" w:cs="Times New Roman"/>
          <w:sz w:val="24"/>
          <w:szCs w:val="24"/>
          <w:lang w:val="en-GB"/>
        </w:rPr>
        <w:t>/LAS</w:t>
      </w:r>
      <w:r w:rsidR="00F54B6A" w:rsidRPr="004A0AC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3053C" w:rsidRPr="004A0AC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B799C" w:rsidRPr="004A0A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65A3" w:rsidRPr="004A0A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Perig Pitrou (CNRS/LAS), </w:t>
      </w:r>
      <w:r w:rsidR="000565A3" w:rsidRPr="004A0ACC">
        <w:rPr>
          <w:rFonts w:ascii="Times New Roman" w:hAnsi="Times New Roman" w:cs="Times New Roman"/>
          <w:sz w:val="24"/>
          <w:szCs w:val="24"/>
          <w:lang w:val="en-GB" w:eastAsia="fr-FR"/>
        </w:rPr>
        <w:t>Patrick O’Brien (LSE)</w:t>
      </w:r>
      <w:r w:rsidR="00A76720" w:rsidRPr="004A0ACC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, </w:t>
      </w:r>
      <w:r w:rsidR="00566177" w:rsidRPr="004A0ACC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Olivier Raveux (CNRS/TELEMME), </w:t>
      </w:r>
      <w:r w:rsidR="00A76720" w:rsidRPr="004A0ACC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Catherine Verna (Univ. </w:t>
      </w:r>
      <w:r w:rsidR="00A76720" w:rsidRPr="001E7371">
        <w:rPr>
          <w:rFonts w:ascii="Times New Roman" w:hAnsi="Times New Roman" w:cs="Times New Roman"/>
          <w:sz w:val="24"/>
          <w:szCs w:val="24"/>
          <w:lang w:eastAsia="fr-FR"/>
        </w:rPr>
        <w:t>Paris 8/ARSCAN)</w:t>
      </w:r>
      <w:r w:rsidR="00566177" w:rsidRPr="001E7371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710908" w:rsidRPr="001E7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D6E7E" w14:textId="77777777" w:rsidR="00FE7F1D" w:rsidRPr="00274793" w:rsidRDefault="00FE7F1D" w:rsidP="003867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F1D" w:rsidRPr="0027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08"/>
    <w:rsid w:val="0000054A"/>
    <w:rsid w:val="00000AE8"/>
    <w:rsid w:val="00005B5B"/>
    <w:rsid w:val="0003241D"/>
    <w:rsid w:val="000565A3"/>
    <w:rsid w:val="00072029"/>
    <w:rsid w:val="00074F9E"/>
    <w:rsid w:val="0008180A"/>
    <w:rsid w:val="000874FD"/>
    <w:rsid w:val="000A2EB8"/>
    <w:rsid w:val="000B42F9"/>
    <w:rsid w:val="000B4C2C"/>
    <w:rsid w:val="000C2CE5"/>
    <w:rsid w:val="000D67C8"/>
    <w:rsid w:val="000E4492"/>
    <w:rsid w:val="000F3B69"/>
    <w:rsid w:val="00111E2C"/>
    <w:rsid w:val="00131547"/>
    <w:rsid w:val="001333D3"/>
    <w:rsid w:val="00146945"/>
    <w:rsid w:val="00156725"/>
    <w:rsid w:val="00161B0B"/>
    <w:rsid w:val="001665DE"/>
    <w:rsid w:val="00170448"/>
    <w:rsid w:val="001860D7"/>
    <w:rsid w:val="00196831"/>
    <w:rsid w:val="0019786D"/>
    <w:rsid w:val="001A4426"/>
    <w:rsid w:val="001A62C1"/>
    <w:rsid w:val="001C238E"/>
    <w:rsid w:val="001C3458"/>
    <w:rsid w:val="001E7371"/>
    <w:rsid w:val="00206105"/>
    <w:rsid w:val="00210B7A"/>
    <w:rsid w:val="00213C22"/>
    <w:rsid w:val="00216A9A"/>
    <w:rsid w:val="00221A00"/>
    <w:rsid w:val="00234C20"/>
    <w:rsid w:val="00261992"/>
    <w:rsid w:val="002656FA"/>
    <w:rsid w:val="00267A50"/>
    <w:rsid w:val="00274793"/>
    <w:rsid w:val="00282C65"/>
    <w:rsid w:val="00285AE5"/>
    <w:rsid w:val="002B05BC"/>
    <w:rsid w:val="002B70C1"/>
    <w:rsid w:val="002C21BF"/>
    <w:rsid w:val="002C3387"/>
    <w:rsid w:val="002C419C"/>
    <w:rsid w:val="002F7C25"/>
    <w:rsid w:val="00300AB4"/>
    <w:rsid w:val="003311EC"/>
    <w:rsid w:val="00332E28"/>
    <w:rsid w:val="00342435"/>
    <w:rsid w:val="00347436"/>
    <w:rsid w:val="00354640"/>
    <w:rsid w:val="00386726"/>
    <w:rsid w:val="003B1D48"/>
    <w:rsid w:val="003D35BF"/>
    <w:rsid w:val="003E7FFD"/>
    <w:rsid w:val="003F15E2"/>
    <w:rsid w:val="003F32F5"/>
    <w:rsid w:val="004272D0"/>
    <w:rsid w:val="00436396"/>
    <w:rsid w:val="00447937"/>
    <w:rsid w:val="0046471A"/>
    <w:rsid w:val="004863CB"/>
    <w:rsid w:val="0048698B"/>
    <w:rsid w:val="00486A18"/>
    <w:rsid w:val="004954FD"/>
    <w:rsid w:val="004A0ACC"/>
    <w:rsid w:val="004B645F"/>
    <w:rsid w:val="004E45FE"/>
    <w:rsid w:val="004F010F"/>
    <w:rsid w:val="004F2258"/>
    <w:rsid w:val="004F3895"/>
    <w:rsid w:val="004F6114"/>
    <w:rsid w:val="0053053C"/>
    <w:rsid w:val="00534066"/>
    <w:rsid w:val="00535C90"/>
    <w:rsid w:val="00547355"/>
    <w:rsid w:val="00566177"/>
    <w:rsid w:val="005971B5"/>
    <w:rsid w:val="005C594A"/>
    <w:rsid w:val="005D0F52"/>
    <w:rsid w:val="005D2D69"/>
    <w:rsid w:val="005F08A1"/>
    <w:rsid w:val="005F136F"/>
    <w:rsid w:val="00601456"/>
    <w:rsid w:val="0060432A"/>
    <w:rsid w:val="00606F29"/>
    <w:rsid w:val="00613B06"/>
    <w:rsid w:val="006157EC"/>
    <w:rsid w:val="00651B51"/>
    <w:rsid w:val="006707BC"/>
    <w:rsid w:val="00683917"/>
    <w:rsid w:val="006A5827"/>
    <w:rsid w:val="006B1C5D"/>
    <w:rsid w:val="006E3DDE"/>
    <w:rsid w:val="006E4B91"/>
    <w:rsid w:val="00710908"/>
    <w:rsid w:val="007213F5"/>
    <w:rsid w:val="00726529"/>
    <w:rsid w:val="00737D4F"/>
    <w:rsid w:val="007428C7"/>
    <w:rsid w:val="00753164"/>
    <w:rsid w:val="0075600B"/>
    <w:rsid w:val="00765215"/>
    <w:rsid w:val="00774E21"/>
    <w:rsid w:val="007774F4"/>
    <w:rsid w:val="00785D26"/>
    <w:rsid w:val="00793551"/>
    <w:rsid w:val="007A0F4F"/>
    <w:rsid w:val="007A4B08"/>
    <w:rsid w:val="007A5605"/>
    <w:rsid w:val="007B0740"/>
    <w:rsid w:val="007B6A0F"/>
    <w:rsid w:val="007C0040"/>
    <w:rsid w:val="007D67FE"/>
    <w:rsid w:val="007E0AC4"/>
    <w:rsid w:val="007E30DB"/>
    <w:rsid w:val="0081328C"/>
    <w:rsid w:val="00816E87"/>
    <w:rsid w:val="00825545"/>
    <w:rsid w:val="0083062E"/>
    <w:rsid w:val="0083255E"/>
    <w:rsid w:val="00836F20"/>
    <w:rsid w:val="00846981"/>
    <w:rsid w:val="008552E4"/>
    <w:rsid w:val="00864E5B"/>
    <w:rsid w:val="0087020C"/>
    <w:rsid w:val="0087302E"/>
    <w:rsid w:val="00874401"/>
    <w:rsid w:val="00874BBD"/>
    <w:rsid w:val="008A2E1A"/>
    <w:rsid w:val="008B3861"/>
    <w:rsid w:val="008B5072"/>
    <w:rsid w:val="008B799C"/>
    <w:rsid w:val="008C394A"/>
    <w:rsid w:val="008C6DF0"/>
    <w:rsid w:val="008C6F37"/>
    <w:rsid w:val="008D14B5"/>
    <w:rsid w:val="008D7378"/>
    <w:rsid w:val="00903E91"/>
    <w:rsid w:val="0091270E"/>
    <w:rsid w:val="00913B18"/>
    <w:rsid w:val="0094014F"/>
    <w:rsid w:val="00943926"/>
    <w:rsid w:val="00952FA3"/>
    <w:rsid w:val="009670C1"/>
    <w:rsid w:val="00972639"/>
    <w:rsid w:val="00980DB3"/>
    <w:rsid w:val="0098325D"/>
    <w:rsid w:val="009C6F99"/>
    <w:rsid w:val="009D04F0"/>
    <w:rsid w:val="009D36D5"/>
    <w:rsid w:val="00A07201"/>
    <w:rsid w:val="00A24355"/>
    <w:rsid w:val="00A33425"/>
    <w:rsid w:val="00A43F7C"/>
    <w:rsid w:val="00A47FBD"/>
    <w:rsid w:val="00A50409"/>
    <w:rsid w:val="00A76720"/>
    <w:rsid w:val="00A76BB4"/>
    <w:rsid w:val="00A9425C"/>
    <w:rsid w:val="00AA3CCB"/>
    <w:rsid w:val="00AB3D26"/>
    <w:rsid w:val="00AC7971"/>
    <w:rsid w:val="00AD700B"/>
    <w:rsid w:val="00B1067C"/>
    <w:rsid w:val="00B34A31"/>
    <w:rsid w:val="00B36A8D"/>
    <w:rsid w:val="00B47F88"/>
    <w:rsid w:val="00B54872"/>
    <w:rsid w:val="00B60240"/>
    <w:rsid w:val="00B730DC"/>
    <w:rsid w:val="00BA2F29"/>
    <w:rsid w:val="00BC25BE"/>
    <w:rsid w:val="00BE7247"/>
    <w:rsid w:val="00BF0611"/>
    <w:rsid w:val="00BF3F02"/>
    <w:rsid w:val="00C12E86"/>
    <w:rsid w:val="00C617EB"/>
    <w:rsid w:val="00C66F40"/>
    <w:rsid w:val="00C71C8C"/>
    <w:rsid w:val="00C76448"/>
    <w:rsid w:val="00C868B9"/>
    <w:rsid w:val="00C93393"/>
    <w:rsid w:val="00C975E2"/>
    <w:rsid w:val="00C976BF"/>
    <w:rsid w:val="00CA0C31"/>
    <w:rsid w:val="00CA1915"/>
    <w:rsid w:val="00CA2726"/>
    <w:rsid w:val="00CB14DD"/>
    <w:rsid w:val="00CE042D"/>
    <w:rsid w:val="00D0347F"/>
    <w:rsid w:val="00D17B62"/>
    <w:rsid w:val="00D27C94"/>
    <w:rsid w:val="00D37C2E"/>
    <w:rsid w:val="00D40AE9"/>
    <w:rsid w:val="00D47D2F"/>
    <w:rsid w:val="00D555E8"/>
    <w:rsid w:val="00D7578D"/>
    <w:rsid w:val="00D77DBB"/>
    <w:rsid w:val="00DA062E"/>
    <w:rsid w:val="00DC5427"/>
    <w:rsid w:val="00DD6FA6"/>
    <w:rsid w:val="00E14D2E"/>
    <w:rsid w:val="00E20CFA"/>
    <w:rsid w:val="00E46D72"/>
    <w:rsid w:val="00E573E4"/>
    <w:rsid w:val="00E64834"/>
    <w:rsid w:val="00E719C5"/>
    <w:rsid w:val="00E87146"/>
    <w:rsid w:val="00E94B94"/>
    <w:rsid w:val="00EA3144"/>
    <w:rsid w:val="00EA3ABB"/>
    <w:rsid w:val="00EC0028"/>
    <w:rsid w:val="00EC2A10"/>
    <w:rsid w:val="00ED6BC5"/>
    <w:rsid w:val="00EE0CDD"/>
    <w:rsid w:val="00EE7DCC"/>
    <w:rsid w:val="00EF725B"/>
    <w:rsid w:val="00F54B6A"/>
    <w:rsid w:val="00F62BE8"/>
    <w:rsid w:val="00F63A75"/>
    <w:rsid w:val="00F72030"/>
    <w:rsid w:val="00F76FEC"/>
    <w:rsid w:val="00F81155"/>
    <w:rsid w:val="00FB0337"/>
    <w:rsid w:val="00FD1DAD"/>
    <w:rsid w:val="00FD4DFF"/>
    <w:rsid w:val="00FD575B"/>
    <w:rsid w:val="00FE1CE2"/>
    <w:rsid w:val="00FE46CD"/>
    <w:rsid w:val="00FE7861"/>
    <w:rsid w:val="00FE7F1D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8657"/>
  <w15:chartTrackingRefBased/>
  <w15:docId w15:val="{9F9D2229-D924-433E-B4D7-00A26140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46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semiHidden/>
    <w:rsid w:val="00774E21"/>
    <w:pPr>
      <w:spacing w:after="0" w:line="240" w:lineRule="auto"/>
    </w:pPr>
    <w:rPr>
      <w:rFonts w:ascii="Times" w:eastAsia="Times" w:hAnsi="Times" w:cs="Times New Roman"/>
      <w:sz w:val="24"/>
      <w:szCs w:val="24"/>
      <w:lang w:val="en-GB" w:eastAsia="fr-FR"/>
    </w:rPr>
  </w:style>
  <w:style w:type="character" w:customStyle="1" w:styleId="NotedefinCar">
    <w:name w:val="Note de fin Car"/>
    <w:basedOn w:val="Policepardfaut"/>
    <w:link w:val="Notedefin"/>
    <w:semiHidden/>
    <w:rsid w:val="00774E21"/>
    <w:rPr>
      <w:rFonts w:ascii="Times" w:eastAsia="Times" w:hAnsi="Times" w:cs="Times New Roman"/>
      <w:sz w:val="24"/>
      <w:szCs w:val="24"/>
      <w:lang w:val="en-GB" w:eastAsia="fr-FR"/>
    </w:rPr>
  </w:style>
  <w:style w:type="character" w:styleId="Appelnotedebasdep">
    <w:name w:val="footnote reference"/>
    <w:uiPriority w:val="99"/>
    <w:rsid w:val="00774E2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565A3"/>
    <w:rPr>
      <w:color w:val="0563C1"/>
      <w:u w:val="single"/>
    </w:rPr>
  </w:style>
  <w:style w:type="character" w:customStyle="1" w:styleId="field-content">
    <w:name w:val="field-content"/>
    <w:basedOn w:val="Policepardfaut"/>
    <w:rsid w:val="000565A3"/>
  </w:style>
  <w:style w:type="character" w:customStyle="1" w:styleId="st">
    <w:name w:val="st"/>
    <w:basedOn w:val="Policepardfaut"/>
    <w:rsid w:val="00874401"/>
  </w:style>
  <w:style w:type="character" w:customStyle="1" w:styleId="Titre4Car">
    <w:name w:val="Titre 4 Car"/>
    <w:basedOn w:val="Policepardfaut"/>
    <w:link w:val="Titre4"/>
    <w:uiPriority w:val="9"/>
    <w:rsid w:val="0014694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D2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66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6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ane.perez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1402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Hilaire-Perez</dc:creator>
  <cp:keywords/>
  <dc:description/>
  <cp:lastModifiedBy>Liliane Hilaire-Perez</cp:lastModifiedBy>
  <cp:revision>276</cp:revision>
  <dcterms:created xsi:type="dcterms:W3CDTF">2019-05-05T20:53:00Z</dcterms:created>
  <dcterms:modified xsi:type="dcterms:W3CDTF">2019-07-25T21:25:00Z</dcterms:modified>
</cp:coreProperties>
</file>